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黑体" w:eastAsia="黑体" w:cs="方正小标宋简体" w:hint="eastAsia"/>
          <w:sz w:val="32"/>
          <w:szCs w:val="32"/>
          <w:lang w:val="en-US" w:eastAsia="zh-CN"/>
        </w:rPr>
      </w:pPr>
      <w:r>
        <w:rPr>
          <w:rFonts w:ascii="黑体" w:eastAsia="黑体" w:cs="方正小标宋简体"/>
          <w:sz w:val="32"/>
          <w:szCs w:val="32"/>
          <w:lang w:val="en-US" w:eastAsia="zh-CN"/>
        </w:rPr>
        <w:t>息烽县住房和城乡建设局2019年公共服务事项清单</w:t>
      </w:r>
      <w:bookmarkStart w:id="0" w:name="_GoBack"/>
      <w:bookmarkEnd w:id="0"/>
    </w:p>
    <w:tbl>
      <w:tblPr>
        <w:jc w:val="left"/>
        <w:tblInd w:w="0" w:type="dxa"/>
        <w:tblW w:w="13364"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540"/>
        <w:gridCol w:w="2790"/>
        <w:gridCol w:w="6945"/>
        <w:gridCol w:w="1110"/>
        <w:gridCol w:w="1980"/>
      </w:tblGrid>
      <w:tr>
        <w:tc>
          <w:tcPr>
            <w:tcW w:w="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ascii="黑体" w:eastAsia="黑体" w:cs="黑体" w:hint="eastAsia"/>
                <w:sz w:val="24"/>
                <w:lang w:val="en-US" w:eastAsia="zh-CN"/>
              </w:rPr>
            </w:pPr>
            <w:r>
              <w:rPr>
                <w:rFonts w:ascii="黑体" w:eastAsia="黑体" w:cs="黑体" w:hint="eastAsia"/>
                <w:sz w:val="24"/>
                <w:lang w:val="en-US" w:eastAsia="zh-CN"/>
              </w:rPr>
              <w:t>序号</w:t>
            </w:r>
          </w:p>
        </w:tc>
        <w:tc>
          <w:tcPr>
            <w:tcW w:w="27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ascii="黑体" w:eastAsia="黑体" w:cs="黑体" w:hint="eastAsia"/>
                <w:sz w:val="24"/>
                <w:lang w:val="en-US" w:eastAsia="zh-CN"/>
              </w:rPr>
            </w:pPr>
            <w:r>
              <w:rPr>
                <w:rFonts w:ascii="黑体" w:eastAsia="黑体" w:cs="黑体" w:hint="eastAsia"/>
                <w:sz w:val="24"/>
                <w:lang w:val="en-US" w:eastAsia="zh-CN"/>
              </w:rPr>
              <w:t>事项名称</w:t>
            </w:r>
          </w:p>
        </w:tc>
        <w:tc>
          <w:tcPr>
            <w:tcW w:w="69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ascii="黑体" w:eastAsia="黑体" w:cs="黑体" w:hint="eastAsia"/>
                <w:sz w:val="24"/>
                <w:lang w:val="en-US" w:eastAsia="zh-CN"/>
              </w:rPr>
            </w:pPr>
            <w:r>
              <w:rPr>
                <w:rFonts w:ascii="黑体" w:eastAsia="黑体" w:cs="黑体" w:hint="eastAsia"/>
                <w:sz w:val="24"/>
                <w:lang w:val="en-US" w:eastAsia="zh-CN"/>
              </w:rPr>
              <w:t>服务理由（服务依据）</w:t>
            </w:r>
          </w:p>
        </w:tc>
        <w:tc>
          <w:tcPr>
            <w:tcW w:w="11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ascii="黑体" w:eastAsia="黑体" w:cs="黑体" w:hint="eastAsia"/>
                <w:sz w:val="24"/>
                <w:lang w:val="en-US" w:eastAsia="zh-CN"/>
              </w:rPr>
            </w:pPr>
            <w:r>
              <w:rPr>
                <w:rFonts w:ascii="黑体" w:eastAsia="黑体" w:cs="黑体" w:hint="eastAsia"/>
                <w:sz w:val="24"/>
                <w:lang w:val="en-US" w:eastAsia="zh-CN"/>
              </w:rPr>
              <w:t>服务类别</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ascii="黑体" w:eastAsia="黑体" w:cs="黑体" w:hint="eastAsia"/>
                <w:sz w:val="24"/>
                <w:lang w:val="en-US" w:eastAsia="zh-CN"/>
              </w:rPr>
            </w:pPr>
            <w:r>
              <w:rPr>
                <w:rFonts w:ascii="黑体" w:eastAsia="黑体" w:cs="黑体" w:hint="eastAsia"/>
                <w:sz w:val="24"/>
                <w:lang w:val="en-US" w:eastAsia="zh-CN"/>
              </w:rPr>
              <w:t>行使层级</w:t>
            </w:r>
          </w:p>
        </w:tc>
      </w:tr>
      <w:tr>
        <w:tc>
          <w:tcPr>
            <w:tcW w:w="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ascii="Times New Roman" w:eastAsia="宋体" w:cs="Times New Roman" w:hAnsi="Times New Roman"/>
                <w:sz w:val="22"/>
                <w:szCs w:val="22"/>
                <w:lang w:val="en-US" w:eastAsia="zh-CN"/>
              </w:rPr>
            </w:pPr>
            <w:r>
              <w:rPr>
                <w:rFonts w:ascii="Times New Roman" w:cs="Times New Roman" w:hAnsi="Times New Roman" w:hint="eastAsia"/>
                <w:sz w:val="22"/>
                <w:szCs w:val="22"/>
                <w:lang w:val="en-US" w:eastAsia="zh-CN"/>
              </w:rPr>
              <w:t>1</w:t>
            </w:r>
          </w:p>
        </w:tc>
        <w:tc>
          <w:tcPr>
            <w:tcW w:w="27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ascii="Times New Roman" w:eastAsia="宋体" w:cs="Times New Roman" w:hAnsi="Times New Roman" w:hint="eastAsia"/>
                <w:lang w:val="en-US" w:eastAsia="zh-CN"/>
              </w:rPr>
            </w:pPr>
            <w:r>
              <w:rPr>
                <w:rFonts w:ascii="Times New Roman" w:eastAsia="宋体" w:cs="Times New Roman" w:hAnsi="Times New Roman" w:hint="eastAsia"/>
                <w:lang w:val="en-US" w:eastAsia="zh-CN"/>
              </w:rPr>
              <w:t>城建档案查询服务</w:t>
            </w:r>
          </w:p>
        </w:tc>
        <w:tc>
          <w:tcPr>
            <w:tcW w:w="69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ascii="Times New Roman" w:eastAsia="宋体" w:cs="Times New Roman" w:hAnsi="Times New Roman" w:hint="eastAsia"/>
                <w:lang w:val="en-US" w:eastAsia="zh-CN"/>
              </w:rPr>
            </w:pPr>
            <w:r>
              <w:rPr>
                <w:rFonts w:ascii="Times New Roman" w:eastAsia="宋体" w:cs="Times New Roman" w:hAnsi="Times New Roman" w:hint="eastAsia"/>
                <w:lang w:val="en-US" w:eastAsia="zh-CN"/>
              </w:rPr>
              <w:t>【部门规章】《贵州省城乡建设档案管理办法》（省人民政府令第121号）</w:t>
              <w:br/>
              <w:t xml:space="preserve"> 第二十六条 单位和个人持合法证明可以免费利用已开放的城乡建设档案</w:t>
              <w:br/>
              <w:t xml:space="preserve"> 第二十七条 建设单位可以利用建设地点及其邻近地域的城乡建设档案，确保建设工程项目的设计、施工、监理质量城乡建设档案馆(室)应当为其利用提供方便</w:t>
            </w:r>
          </w:p>
        </w:tc>
        <w:tc>
          <w:tcPr>
            <w:tcW w:w="11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ascii="Times New Roman" w:eastAsia="宋体" w:cs="Times New Roman" w:hAnsi="Times New Roman" w:hint="eastAsia"/>
                <w:lang w:val="en-US" w:eastAsia="zh-CN"/>
              </w:rPr>
            </w:pPr>
            <w:r>
              <w:rPr>
                <w:rFonts w:ascii="Times New Roman" w:eastAsia="宋体" w:cs="Times New Roman" w:hAnsi="Times New Roman" w:hint="eastAsia"/>
                <w:lang w:val="en-US" w:eastAsia="zh-CN"/>
              </w:rPr>
              <w:t>依申请服务</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ascii="Times New Roman" w:eastAsia="宋体" w:cs="Times New Roman" w:hAnsi="Times New Roman" w:hint="eastAsia"/>
                <w:lang w:val="en-US" w:eastAsia="zh-CN"/>
              </w:rPr>
            </w:pPr>
            <w:r>
              <w:rPr>
                <w:rFonts w:ascii="Times New Roman" w:eastAsia="宋体" w:cs="Times New Roman" w:hAnsi="Times New Roman" w:hint="eastAsia"/>
                <w:lang w:val="en-US" w:eastAsia="zh-CN"/>
              </w:rPr>
              <w:t>市（州）、县（区）</w:t>
            </w:r>
          </w:p>
        </w:tc>
      </w:tr>
      <w:tr>
        <w:tc>
          <w:tcPr>
            <w:tcW w:w="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ascii="Times New Roman" w:eastAsia="宋体" w:cs="Times New Roman" w:hAnsi="Times New Roman"/>
                <w:sz w:val="22"/>
                <w:szCs w:val="22"/>
                <w:lang w:val="en-US" w:eastAsia="zh-CN"/>
              </w:rPr>
            </w:pPr>
            <w:r>
              <w:rPr>
                <w:rFonts w:ascii="Times New Roman" w:cs="Times New Roman" w:hAnsi="Times New Roman" w:hint="eastAsia"/>
                <w:sz w:val="22"/>
                <w:szCs w:val="22"/>
                <w:lang w:val="en-US" w:eastAsia="zh-CN"/>
              </w:rPr>
              <w:t>2</w:t>
            </w:r>
          </w:p>
        </w:tc>
        <w:tc>
          <w:tcPr>
            <w:tcW w:w="27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ascii="Times New Roman" w:eastAsia="宋体" w:cs="Times New Roman" w:hAnsi="Times New Roman" w:hint="eastAsia"/>
                <w:lang w:val="en-US" w:eastAsia="zh-CN"/>
              </w:rPr>
            </w:pPr>
            <w:r>
              <w:rPr>
                <w:rFonts w:ascii="Times New Roman" w:eastAsia="宋体" w:cs="Times New Roman" w:hAnsi="Times New Roman" w:hint="eastAsia"/>
                <w:lang w:val="en-US" w:eastAsia="zh-CN"/>
              </w:rPr>
              <w:t>可售商品房房源信息的公示</w:t>
            </w:r>
          </w:p>
        </w:tc>
        <w:tc>
          <w:tcPr>
            <w:tcW w:w="69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ascii="Times New Roman" w:eastAsia="宋体" w:cs="Times New Roman" w:hAnsi="Times New Roman" w:hint="eastAsia"/>
                <w:lang w:val="en-US" w:eastAsia="zh-CN"/>
              </w:rPr>
            </w:pPr>
            <w:r>
              <w:rPr>
                <w:rFonts w:ascii="Times New Roman" w:eastAsia="宋体" w:cs="Times New Roman" w:hAnsi="Times New Roman" w:hint="eastAsia"/>
                <w:lang w:val="en-US" w:eastAsia="zh-CN"/>
              </w:rPr>
              <w:t xml:space="preserve">【【规范性文件】《关于进一步加强房地产市场监管完善商品住房预售制度有关问题的通知》（建房〔2010〕53号） </w:t>
              <w:br/>
              <w:t xml:space="preserve">    第一条第五项 健全房地产信息公开机制各地要加强和完善房地产市场信息系统建设，及时准确地向社会公布市场信息市、县房地产主管部门要及时将批准的预售信息、可售楼盘及房源信息、违法违规行为查处情况等向社会公开房地产开发企业应将预售许可情况、商品住房预售方案、开发建设单位资质、代理销售的房地产经纪机构备案情况等信息，在销售现场清晰明示　房产管理部门应当定期公布商品房预售许可证发放信息，并免费提供查询服务</w:t>
            </w:r>
          </w:p>
        </w:tc>
        <w:tc>
          <w:tcPr>
            <w:tcW w:w="11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ascii="Times New Roman" w:eastAsia="宋体" w:cs="Times New Roman" w:hAnsi="Times New Roman" w:hint="eastAsia"/>
                <w:lang w:val="en-US" w:eastAsia="zh-CN"/>
              </w:rPr>
            </w:pPr>
            <w:r>
              <w:rPr>
                <w:rFonts w:ascii="Times New Roman" w:eastAsia="宋体" w:cs="Times New Roman" w:hAnsi="Times New Roman" w:hint="eastAsia"/>
                <w:lang w:val="en-US" w:eastAsia="zh-CN"/>
              </w:rPr>
              <w:t>依申请服务</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ascii="Times New Roman" w:eastAsia="宋体" w:cs="Times New Roman" w:hAnsi="Times New Roman" w:hint="eastAsia"/>
                <w:lang w:val="en-US" w:eastAsia="zh-CN"/>
              </w:rPr>
            </w:pPr>
            <w:r>
              <w:rPr>
                <w:rFonts w:ascii="Times New Roman" w:eastAsia="宋体" w:cs="Times New Roman" w:hAnsi="Times New Roman" w:hint="eastAsia"/>
                <w:lang w:val="en-US" w:eastAsia="zh-CN"/>
              </w:rPr>
              <w:t>市（州）、县（区）房地产主管部门</w:t>
            </w:r>
          </w:p>
        </w:tc>
      </w:tr>
      <w:tr>
        <w:tc>
          <w:tcPr>
            <w:tcW w:w="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ascii="Times New Roman" w:eastAsia="宋体" w:cs="Times New Roman" w:hAnsi="Times New Roman"/>
                <w:sz w:val="22"/>
                <w:szCs w:val="22"/>
                <w:lang w:val="en-US" w:eastAsia="zh-CN"/>
              </w:rPr>
            </w:pPr>
            <w:r>
              <w:rPr>
                <w:rFonts w:ascii="Times New Roman" w:cs="Times New Roman" w:hAnsi="Times New Roman"/>
                <w:sz w:val="22"/>
                <w:szCs w:val="22"/>
                <w:lang w:val="en-US" w:eastAsia="zh-CN"/>
              </w:rPr>
              <w:t>3</w:t>
            </w:r>
          </w:p>
        </w:tc>
        <w:tc>
          <w:tcPr>
            <w:tcW w:w="27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ascii="Times New Roman" w:eastAsia="宋体" w:cs="Times New Roman" w:hAnsi="Times New Roman" w:hint="eastAsia"/>
                <w:lang w:val="en-US" w:eastAsia="zh-CN"/>
              </w:rPr>
            </w:pPr>
            <w:r>
              <w:rPr>
                <w:rFonts w:ascii="Times New Roman" w:eastAsia="宋体" w:cs="Times New Roman" w:hAnsi="Times New Roman" w:hint="eastAsia"/>
                <w:lang w:val="en-US" w:eastAsia="zh-CN"/>
              </w:rPr>
              <w:t>法规政策宣传解读</w:t>
            </w:r>
          </w:p>
        </w:tc>
        <w:tc>
          <w:tcPr>
            <w:tcW w:w="69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ascii="Times New Roman" w:eastAsia="宋体" w:cs="Times New Roman" w:hAnsi="Times New Roman" w:hint="eastAsia"/>
                <w:lang w:val="en-US" w:eastAsia="zh-CN"/>
              </w:rPr>
            </w:pPr>
            <w:r>
              <w:rPr>
                <w:rFonts w:ascii="Times New Roman" w:eastAsia="宋体" w:cs="Times New Roman" w:hAnsi="Times New Roman" w:hint="eastAsia"/>
                <w:lang w:val="en-US" w:eastAsia="zh-CN"/>
              </w:rPr>
              <w:t xml:space="preserve">【规范性文件】《关于全面推进政务公开工作的意见》（中办发〔2016〕8号） </w:t>
              <w:br/>
              <w:t xml:space="preserve">(十一)加强政策解读将政策解读与政策制定工作同步考虑，同步安排各地区各部门要发挥政策参与制定者，掌握相关政策、熟悉有关领域业务的专家学者和新闻媒体的作用，注重运用数字化、图表图解、音频视频等方式，提高政策解读的针对性、科学性、权威性对涉及面广、社会关注度高、实施难度大、专业性强的政策法规，要通过新闻发布、政策吹风、接受访谈、发表文章等方式做好解读，深入浅出地讲解政策背景、目标和要点各省(自治区、直辖市)政府和国务院各部门要充分利用新闻发布会和政策吹风会进行政策解读，领导干部要带头宣讲政策，特别是遇有重大突发事件、重要社会关切等，主要负责人要带头接受媒体采访，表明立场态度，发出权威声音，当好“第一新闻发言人”新闻媒体、新闻网站、研究机构要做好党中央、国务院重大政策解读工作 </w:t>
              <w:br/>
              <w:t xml:space="preserve">【规范性文件】国务院关于加强法治政府建设的意见（国发〔2010〕33号） </w:t>
              <w:br/>
              <w:t>29.营造学法尊法守法的良好社会氛围各级人民政府及其部门要采取各种有效形式深入开展法治宣传教育，精心组织实施普法活动，特别要加强与人民群众生产生活密切相关的法律法规宣传，大力弘扬社会主义法治精神，切实增强公民依法维护权利、自觉履行义务的意识，努力推进法治社会建设</w:t>
            </w:r>
          </w:p>
        </w:tc>
        <w:tc>
          <w:tcPr>
            <w:tcW w:w="11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ascii="Times New Roman" w:eastAsia="宋体" w:cs="Times New Roman" w:hAnsi="Times New Roman" w:hint="eastAsia"/>
                <w:lang w:val="en-US" w:eastAsia="zh-CN"/>
              </w:rPr>
            </w:pPr>
            <w:r>
              <w:rPr>
                <w:rFonts w:ascii="Times New Roman" w:eastAsia="宋体" w:cs="Times New Roman" w:hAnsi="Times New Roman" w:hint="eastAsia"/>
                <w:lang w:val="en-US" w:eastAsia="zh-CN"/>
              </w:rPr>
              <w:t>主动服务</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ascii="Times New Roman" w:eastAsia="宋体" w:cs="Times New Roman" w:hAnsi="Times New Roman" w:hint="eastAsia"/>
                <w:lang w:val="en-US" w:eastAsia="zh-CN"/>
              </w:rPr>
            </w:pPr>
            <w:r>
              <w:rPr>
                <w:rFonts w:ascii="Times New Roman" w:eastAsia="宋体" w:cs="Times New Roman" w:hAnsi="Times New Roman" w:hint="eastAsia"/>
                <w:lang w:val="en-US" w:eastAsia="zh-CN"/>
              </w:rPr>
              <w:t>省、市（州）、县（区）</w:t>
            </w:r>
          </w:p>
        </w:tc>
      </w:tr>
      <w:tr>
        <w:tc>
          <w:tcPr>
            <w:tcW w:w="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ascii="Times New Roman" w:eastAsia="宋体" w:cs="Times New Roman" w:hAnsi="Times New Roman"/>
                <w:sz w:val="22"/>
                <w:szCs w:val="22"/>
                <w:lang w:val="en-US" w:eastAsia="zh-CN"/>
              </w:rPr>
            </w:pPr>
            <w:r>
              <w:rPr>
                <w:rFonts w:ascii="Times New Roman" w:cs="Times New Roman" w:hAnsi="Times New Roman"/>
                <w:sz w:val="22"/>
                <w:szCs w:val="22"/>
                <w:lang w:val="en-US" w:eastAsia="zh-CN"/>
              </w:rPr>
              <w:t>4</w:t>
            </w:r>
          </w:p>
        </w:tc>
        <w:tc>
          <w:tcPr>
            <w:tcW w:w="27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ascii="Times New Roman" w:eastAsia="宋体" w:cs="Times New Roman" w:hAnsi="Times New Roman" w:hint="eastAsia"/>
                <w:lang w:val="en-US" w:eastAsia="zh-CN"/>
              </w:rPr>
            </w:pPr>
            <w:r>
              <w:rPr>
                <w:rFonts w:ascii="Times New Roman" w:eastAsia="宋体" w:cs="Times New Roman" w:hAnsi="Times New Roman" w:hint="eastAsia"/>
                <w:lang w:val="en-US" w:eastAsia="zh-CN"/>
              </w:rPr>
              <w:t>住宅专项维修资金交存</w:t>
            </w:r>
          </w:p>
        </w:tc>
        <w:tc>
          <w:tcPr>
            <w:tcW w:w="69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ascii="Times New Roman" w:eastAsia="宋体" w:cs="Times New Roman" w:hAnsi="Times New Roman" w:hint="eastAsia"/>
                <w:lang w:val="en-US" w:eastAsia="zh-CN"/>
              </w:rPr>
            </w:pPr>
            <w:r>
              <w:rPr>
                <w:rFonts w:ascii="Times New Roman" w:eastAsia="宋体" w:cs="Times New Roman" w:hAnsi="Times New Roman" w:hint="eastAsia"/>
                <w:lang w:val="en-US" w:eastAsia="zh-CN"/>
              </w:rPr>
              <w:t>1.法律法规名称:《住宅专项维修资金管理办法》;</w:t>
            </w:r>
          </w:p>
        </w:tc>
        <w:tc>
          <w:tcPr>
            <w:tcW w:w="11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ascii="Times New Roman" w:eastAsia="宋体" w:cs="Times New Roman" w:hAnsi="Times New Roman" w:hint="eastAsia"/>
                <w:lang w:val="en-US" w:eastAsia="zh-CN"/>
              </w:rPr>
            </w:pPr>
            <w:r>
              <w:rPr>
                <w:rFonts w:ascii="Times New Roman" w:eastAsia="宋体" w:cs="Times New Roman" w:hAnsi="Times New Roman" w:hint="eastAsia"/>
                <w:lang w:val="en-US" w:eastAsia="zh-CN"/>
              </w:rPr>
              <w:t>依申请服务</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ascii="Times New Roman" w:eastAsia="宋体" w:cs="Times New Roman" w:hAnsi="Times New Roman" w:hint="eastAsia"/>
                <w:lang w:val="en-US" w:eastAsia="zh-CN"/>
              </w:rPr>
            </w:pPr>
            <w:r>
              <w:rPr>
                <w:rFonts w:ascii="Times New Roman" w:eastAsia="宋体" w:cs="Times New Roman" w:hAnsi="Times New Roman" w:hint="eastAsia"/>
                <w:lang w:val="en-US" w:eastAsia="zh-CN"/>
              </w:rPr>
              <w:t>市（州）、县（区）房地产主管部门</w:t>
            </w:r>
          </w:p>
        </w:tc>
      </w:tr>
    </w:tbl>
    <w:p/>
    <w:sectPr>
      <w:pgSz w:w="16839" w:h="11907" w:orient="landscape"/>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0030101010101"/>
    <w:charset w:val="86"/>
    <w:family w:val="auto"/>
    <w:pitch w:val="variable"/>
    <w:sig w:usb0="00000001" w:usb1="080E0000" w:usb2="00000000" w:usb3="00000000" w:csb0="00040000" w:csb1="00000000"/>
  </w:font>
  <w:font w:name="方正小标宋简体">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Calibri">
    <w:altName w:val="Times New Roman"/>
    <w:panose1 w:val="00000000000000000000"/>
    <w:charset w:val="00"/>
    <w:family w:val="auto"/>
    <w:pitch w:val="variable"/>
    <w:sig w:usb0="00000000" w:usb1="00000000" w:usb2="00000000" w:usb3="00000000" w:csb0="00000000"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14</TotalTime>
  <Application>Yozo_Office</Application>
  <Pages>2</Pages>
  <Words>1094</Words>
  <Characters>1113</Characters>
  <Lines>56</Lines>
  <Paragraphs>26</Paragraphs>
  <CharactersWithSpaces>1133</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Microsoft</cp:lastModifiedBy>
  <cp:revision>1</cp:revision>
  <cp:lastPrinted>2019-10-18T01:00:19Z</cp:lastPrinted>
  <dcterms:created xsi:type="dcterms:W3CDTF">2019-10-17T08:07:16Z</dcterms:created>
  <dcterms:modified xsi:type="dcterms:W3CDTF">2019-10-18T04:13:35Z</dcterms:modified>
</cp:coreProperties>
</file>