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宋体"/>
          <w:b/>
          <w:kern w:val="0"/>
          <w:sz w:val="52"/>
          <w:szCs w:val="52"/>
        </w:rPr>
      </w:pPr>
      <w:bookmarkStart w:id="88" w:name="_GoBack"/>
      <w:bookmarkEnd w:id="88"/>
    </w:p>
    <w:p>
      <w:pPr>
        <w:jc w:val="center"/>
        <w:rPr>
          <w:rFonts w:ascii="仿宋" w:hAnsi="仿宋" w:eastAsia="仿宋" w:cs="宋体"/>
          <w:b/>
          <w:kern w:val="0"/>
          <w:sz w:val="52"/>
          <w:szCs w:val="52"/>
        </w:rPr>
      </w:pPr>
    </w:p>
    <w:p>
      <w:pPr>
        <w:jc w:val="center"/>
        <w:rPr>
          <w:rFonts w:ascii="仿宋" w:hAnsi="仿宋" w:eastAsia="仿宋" w:cs="宋体"/>
          <w:b/>
          <w:kern w:val="0"/>
          <w:sz w:val="52"/>
          <w:szCs w:val="52"/>
        </w:rPr>
      </w:pPr>
      <w:r>
        <w:rPr>
          <w:rFonts w:hint="eastAsia" w:ascii="仿宋" w:hAnsi="仿宋" w:eastAsia="仿宋" w:cs="宋体"/>
          <w:b/>
          <w:kern w:val="0"/>
          <w:sz w:val="52"/>
          <w:szCs w:val="52"/>
        </w:rPr>
        <w:t>息烽县</w:t>
      </w:r>
    </w:p>
    <w:p>
      <w:pPr>
        <w:jc w:val="center"/>
        <w:rPr>
          <w:rFonts w:ascii="仿宋" w:hAnsi="仿宋" w:eastAsia="仿宋" w:cs="宋体"/>
          <w:b/>
          <w:kern w:val="0"/>
          <w:sz w:val="52"/>
          <w:szCs w:val="52"/>
        </w:rPr>
      </w:pPr>
      <w:r>
        <w:rPr>
          <w:rFonts w:hint="eastAsia" w:ascii="仿宋" w:hAnsi="仿宋" w:eastAsia="仿宋" w:cs="宋体"/>
          <w:b/>
          <w:kern w:val="0"/>
          <w:sz w:val="52"/>
          <w:szCs w:val="52"/>
        </w:rPr>
        <w:t>温泉镇赶子村田园综合体建设项目</w:t>
      </w:r>
    </w:p>
    <w:p>
      <w:pPr>
        <w:jc w:val="center"/>
        <w:rPr>
          <w:rFonts w:ascii="仿宋" w:hAnsi="仿宋" w:eastAsia="仿宋" w:cs="宋体"/>
          <w:b/>
          <w:kern w:val="0"/>
          <w:sz w:val="52"/>
          <w:szCs w:val="52"/>
        </w:rPr>
      </w:pPr>
      <w:r>
        <w:rPr>
          <w:rFonts w:hint="eastAsia" w:ascii="仿宋" w:hAnsi="仿宋" w:eastAsia="仿宋" w:cs="宋体"/>
          <w:b/>
          <w:kern w:val="0"/>
          <w:sz w:val="52"/>
          <w:szCs w:val="52"/>
        </w:rPr>
        <w:t>招商推介书</w:t>
      </w:r>
    </w:p>
    <w:p>
      <w:pPr>
        <w:jc w:val="center"/>
        <w:rPr>
          <w:rFonts w:ascii="仿宋" w:hAnsi="仿宋" w:eastAsia="仿宋" w:cs="宋体"/>
          <w:b/>
          <w:kern w:val="0"/>
          <w:sz w:val="44"/>
          <w:szCs w:val="44"/>
        </w:rPr>
      </w:pPr>
    </w:p>
    <w:p>
      <w:pPr>
        <w:jc w:val="center"/>
        <w:rPr>
          <w:rFonts w:ascii="仿宋" w:hAnsi="仿宋" w:eastAsia="仿宋" w:cs="宋体"/>
          <w:b/>
          <w:kern w:val="0"/>
          <w:sz w:val="44"/>
          <w:szCs w:val="44"/>
        </w:rPr>
      </w:pPr>
    </w:p>
    <w:p>
      <w:pPr>
        <w:jc w:val="center"/>
        <w:rPr>
          <w:rFonts w:ascii="仿宋" w:hAnsi="仿宋" w:eastAsia="仿宋" w:cs="宋体"/>
          <w:b/>
          <w:kern w:val="0"/>
          <w:sz w:val="44"/>
          <w:szCs w:val="44"/>
        </w:rPr>
      </w:pPr>
    </w:p>
    <w:p>
      <w:pPr>
        <w:jc w:val="center"/>
        <w:rPr>
          <w:rFonts w:ascii="仿宋" w:hAnsi="仿宋" w:eastAsia="仿宋" w:cs="宋体"/>
          <w:b/>
          <w:kern w:val="0"/>
          <w:sz w:val="44"/>
          <w:szCs w:val="44"/>
        </w:rPr>
      </w:pPr>
    </w:p>
    <w:p>
      <w:pPr>
        <w:jc w:val="center"/>
        <w:rPr>
          <w:rFonts w:ascii="仿宋" w:hAnsi="仿宋" w:eastAsia="仿宋" w:cs="宋体"/>
          <w:b/>
          <w:kern w:val="0"/>
          <w:sz w:val="44"/>
          <w:szCs w:val="44"/>
        </w:rPr>
      </w:pPr>
    </w:p>
    <w:p>
      <w:pPr>
        <w:jc w:val="center"/>
        <w:rPr>
          <w:rFonts w:ascii="仿宋" w:hAnsi="仿宋" w:eastAsia="仿宋" w:cs="宋体"/>
          <w:b/>
          <w:kern w:val="0"/>
          <w:sz w:val="44"/>
          <w:szCs w:val="44"/>
        </w:rPr>
      </w:pPr>
    </w:p>
    <w:p>
      <w:pPr>
        <w:rPr>
          <w:rFonts w:ascii="仿宋" w:hAnsi="仿宋" w:eastAsia="仿宋" w:cs="宋体"/>
          <w:b/>
          <w:color w:val="0000FF"/>
          <w:kern w:val="0"/>
          <w:sz w:val="44"/>
          <w:szCs w:val="44"/>
        </w:rPr>
      </w:pPr>
    </w:p>
    <w:p>
      <w:pPr>
        <w:jc w:val="left"/>
        <w:rPr>
          <w:rFonts w:ascii="仿宋" w:hAnsi="仿宋" w:eastAsia="仿宋" w:cs="宋体"/>
          <w:b/>
          <w:kern w:val="0"/>
          <w:sz w:val="32"/>
          <w:szCs w:val="32"/>
        </w:rPr>
      </w:pPr>
      <w:r>
        <w:rPr>
          <w:rFonts w:hint="eastAsia" w:ascii="仿宋" w:hAnsi="仿宋" w:eastAsia="仿宋" w:cs="宋体"/>
          <w:b/>
          <w:kern w:val="0"/>
          <w:sz w:val="32"/>
          <w:szCs w:val="32"/>
        </w:rPr>
        <w:t>联系单位：</w:t>
      </w:r>
      <w:r>
        <w:rPr>
          <w:rFonts w:hint="eastAsia" w:ascii="仿宋" w:hAnsi="仿宋" w:eastAsia="仿宋" w:cs="宋体"/>
          <w:b/>
          <w:kern w:val="0"/>
          <w:sz w:val="32"/>
          <w:szCs w:val="32"/>
          <w:lang w:eastAsia="zh-CN"/>
        </w:rPr>
        <w:t>息烽县</w:t>
      </w:r>
      <w:r>
        <w:rPr>
          <w:rFonts w:hint="eastAsia" w:ascii="仿宋" w:hAnsi="仿宋" w:eastAsia="仿宋" w:cs="宋体"/>
          <w:b/>
          <w:kern w:val="0"/>
          <w:sz w:val="32"/>
          <w:szCs w:val="32"/>
        </w:rPr>
        <w:t>投资促进局</w:t>
      </w:r>
    </w:p>
    <w:p>
      <w:pPr>
        <w:jc w:val="left"/>
        <w:rPr>
          <w:rFonts w:ascii="仿宋" w:hAnsi="仿宋" w:eastAsia="仿宋" w:cs="宋体"/>
          <w:b/>
          <w:kern w:val="0"/>
          <w:sz w:val="32"/>
          <w:szCs w:val="32"/>
        </w:rPr>
      </w:pPr>
      <w:r>
        <w:rPr>
          <w:rFonts w:hint="eastAsia" w:ascii="仿宋" w:hAnsi="仿宋" w:eastAsia="仿宋" w:cs="宋体"/>
          <w:b/>
          <w:kern w:val="0"/>
          <w:sz w:val="32"/>
          <w:szCs w:val="32"/>
        </w:rPr>
        <w:t>联系</w:t>
      </w:r>
      <w:r>
        <w:rPr>
          <w:rFonts w:hint="eastAsia" w:ascii="仿宋" w:hAnsi="仿宋" w:eastAsia="仿宋" w:cs="宋体"/>
          <w:b/>
          <w:kern w:val="0"/>
          <w:sz w:val="32"/>
          <w:szCs w:val="32"/>
          <w:lang w:eastAsia="zh-CN"/>
        </w:rPr>
        <w:t>科</w:t>
      </w:r>
      <w:r>
        <w:rPr>
          <w:rFonts w:hint="eastAsia" w:ascii="仿宋" w:hAnsi="仿宋" w:eastAsia="仿宋" w:cs="宋体"/>
          <w:b/>
          <w:kern w:val="0"/>
          <w:sz w:val="32"/>
          <w:szCs w:val="32"/>
        </w:rPr>
        <w:t>室：招商</w:t>
      </w:r>
      <w:r>
        <w:rPr>
          <w:rFonts w:hint="eastAsia" w:ascii="仿宋" w:hAnsi="仿宋" w:eastAsia="仿宋" w:cs="宋体"/>
          <w:b/>
          <w:kern w:val="0"/>
          <w:sz w:val="32"/>
          <w:szCs w:val="32"/>
          <w:lang w:eastAsia="zh-CN"/>
        </w:rPr>
        <w:t>科</w:t>
      </w:r>
    </w:p>
    <w:p>
      <w:pPr>
        <w:jc w:val="left"/>
        <w:rPr>
          <w:rFonts w:ascii="仿宋" w:hAnsi="仿宋" w:eastAsia="仿宋" w:cs="宋体"/>
          <w:b/>
          <w:kern w:val="0"/>
          <w:sz w:val="32"/>
          <w:szCs w:val="32"/>
        </w:rPr>
      </w:pPr>
      <w:r>
        <w:rPr>
          <w:rFonts w:hint="eastAsia" w:ascii="仿宋" w:hAnsi="仿宋" w:eastAsia="仿宋" w:cs="宋体"/>
          <w:b/>
          <w:kern w:val="0"/>
          <w:sz w:val="32"/>
          <w:szCs w:val="32"/>
        </w:rPr>
        <w:t>联系电话：0851-8</w:t>
      </w:r>
      <w:r>
        <w:rPr>
          <w:rFonts w:hint="eastAsia" w:ascii="仿宋" w:hAnsi="仿宋" w:eastAsia="仿宋" w:cs="宋体"/>
          <w:b/>
          <w:kern w:val="0"/>
          <w:sz w:val="32"/>
          <w:szCs w:val="32"/>
          <w:lang w:val="en-US" w:eastAsia="zh-CN"/>
        </w:rPr>
        <w:t>7728660</w:t>
      </w:r>
    </w:p>
    <w:p>
      <w:pPr>
        <w:jc w:val="center"/>
        <w:rPr>
          <w:rFonts w:ascii="仿宋" w:hAnsi="仿宋" w:eastAsia="仿宋" w:cs="宋体"/>
          <w:b/>
          <w:kern w:val="0"/>
          <w:sz w:val="44"/>
          <w:szCs w:val="44"/>
        </w:rPr>
      </w:pPr>
    </w:p>
    <w:p>
      <w:pPr>
        <w:jc w:val="center"/>
        <w:rPr>
          <w:rFonts w:ascii="仿宋" w:hAnsi="仿宋" w:eastAsia="仿宋" w:cs="宋体"/>
          <w:b/>
          <w:kern w:val="0"/>
          <w:sz w:val="44"/>
          <w:szCs w:val="44"/>
        </w:rPr>
      </w:pPr>
    </w:p>
    <w:p>
      <w:pPr>
        <w:jc w:val="both"/>
        <w:rPr>
          <w:rFonts w:ascii="仿宋" w:hAnsi="仿宋" w:eastAsia="仿宋" w:cs="宋体"/>
          <w:b/>
          <w:kern w:val="0"/>
          <w:sz w:val="44"/>
          <w:szCs w:val="44"/>
        </w:rPr>
      </w:pPr>
    </w:p>
    <w:p>
      <w:pPr>
        <w:jc w:val="center"/>
        <w:rPr>
          <w:rFonts w:hint="eastAsia" w:ascii="仿宋" w:hAnsi="仿宋" w:eastAsia="仿宋" w:cs="黑体"/>
          <w:b/>
          <w:bCs/>
          <w:sz w:val="40"/>
          <w:szCs w:val="32"/>
        </w:rPr>
      </w:pPr>
      <w:r>
        <w:rPr>
          <w:rFonts w:hint="eastAsia" w:ascii="仿宋" w:hAnsi="仿宋" w:eastAsia="仿宋" w:cs="宋体"/>
          <w:b/>
          <w:kern w:val="0"/>
          <w:sz w:val="32"/>
          <w:szCs w:val="32"/>
        </w:rPr>
        <w:t>二〇一</w:t>
      </w:r>
      <w:r>
        <w:rPr>
          <w:rFonts w:hint="eastAsia" w:ascii="仿宋" w:hAnsi="仿宋" w:eastAsia="仿宋" w:cs="宋体"/>
          <w:b/>
          <w:kern w:val="0"/>
          <w:sz w:val="32"/>
          <w:szCs w:val="32"/>
          <w:lang w:eastAsia="zh-CN"/>
        </w:rPr>
        <w:t>八</w:t>
      </w:r>
      <w:r>
        <w:rPr>
          <w:rFonts w:hint="eastAsia" w:ascii="仿宋" w:hAnsi="仿宋" w:eastAsia="仿宋" w:cs="宋体"/>
          <w:b/>
          <w:kern w:val="0"/>
          <w:sz w:val="32"/>
          <w:szCs w:val="32"/>
        </w:rPr>
        <w:t>年</w:t>
      </w:r>
      <w:r>
        <w:rPr>
          <w:rFonts w:hint="eastAsia" w:ascii="仿宋" w:hAnsi="仿宋" w:eastAsia="仿宋" w:cs="宋体"/>
          <w:b/>
          <w:kern w:val="0"/>
          <w:sz w:val="32"/>
          <w:szCs w:val="32"/>
          <w:lang w:eastAsia="zh-CN"/>
        </w:rPr>
        <w:t>四月</w:t>
      </w:r>
    </w:p>
    <w:p>
      <w:pPr>
        <w:spacing w:line="600" w:lineRule="exact"/>
        <w:jc w:val="center"/>
        <w:rPr>
          <w:rFonts w:ascii="仿宋" w:hAnsi="仿宋" w:eastAsia="仿宋" w:cs="黑体"/>
          <w:b/>
          <w:bCs/>
          <w:sz w:val="40"/>
          <w:szCs w:val="32"/>
        </w:rPr>
      </w:pPr>
      <w:r>
        <w:rPr>
          <w:rFonts w:hint="eastAsia" w:ascii="仿宋" w:hAnsi="仿宋" w:eastAsia="仿宋" w:cs="黑体"/>
          <w:b/>
          <w:bCs/>
          <w:sz w:val="40"/>
          <w:szCs w:val="32"/>
        </w:rPr>
        <w:t>目  录</w:t>
      </w:r>
    </w:p>
    <w:p>
      <w:pPr>
        <w:pStyle w:val="16"/>
        <w:tabs>
          <w:tab w:val="right" w:leader="dot" w:pos="8296"/>
        </w:tabs>
        <w:rPr>
          <w:sz w:val="32"/>
          <w:szCs w:val="22"/>
        </w:rPr>
      </w:pPr>
      <w:r>
        <w:rPr>
          <w:rFonts w:hint="eastAsia" w:ascii="仿宋" w:hAnsi="仿宋" w:eastAsia="仿宋" w:cs="黑体"/>
          <w:b/>
          <w:bCs/>
          <w:color w:val="000000"/>
          <w:sz w:val="32"/>
          <w:szCs w:val="32"/>
        </w:rPr>
        <w:fldChar w:fldCharType="begin"/>
      </w:r>
      <w:r>
        <w:rPr>
          <w:rFonts w:hint="eastAsia" w:ascii="仿宋" w:hAnsi="仿宋" w:eastAsia="仿宋" w:cs="黑体"/>
          <w:b/>
          <w:bCs/>
          <w:color w:val="000000"/>
          <w:sz w:val="32"/>
          <w:szCs w:val="32"/>
        </w:rPr>
        <w:instrText xml:space="preserve">TOC \o "1-3" \h \u </w:instrText>
      </w:r>
      <w:r>
        <w:rPr>
          <w:rFonts w:hint="eastAsia" w:ascii="仿宋" w:hAnsi="仿宋" w:eastAsia="仿宋" w:cs="黑体"/>
          <w:b/>
          <w:bCs/>
          <w:color w:val="000000"/>
          <w:sz w:val="32"/>
          <w:szCs w:val="32"/>
        </w:rPr>
        <w:fldChar w:fldCharType="separate"/>
      </w:r>
      <w:r>
        <w:fldChar w:fldCharType="begin"/>
      </w:r>
      <w:r>
        <w:instrText xml:space="preserve">HYPERLINK  \l "_Toc499124839" </w:instrText>
      </w:r>
      <w:r>
        <w:fldChar w:fldCharType="separate"/>
      </w:r>
      <w:r>
        <w:rPr>
          <w:rStyle w:val="27"/>
          <w:rFonts w:hint="default" w:ascii="仿宋" w:hAnsi="仿宋" w:eastAsia="仿宋"/>
          <w:sz w:val="32"/>
        </w:rPr>
        <w:t>1. 项目简介</w:t>
      </w:r>
      <w:r>
        <w:rPr>
          <w:sz w:val="32"/>
        </w:rPr>
        <w:tab/>
      </w:r>
      <w:r>
        <w:rPr>
          <w:sz w:val="32"/>
        </w:rPr>
        <w:fldChar w:fldCharType="begin"/>
      </w:r>
      <w:r>
        <w:rPr>
          <w:sz w:val="32"/>
        </w:rPr>
        <w:instrText xml:space="preserve"> PAGEREF _Toc499124839 \h </w:instrText>
      </w:r>
      <w:r>
        <w:rPr>
          <w:sz w:val="32"/>
        </w:rPr>
        <w:fldChar w:fldCharType="separate"/>
      </w:r>
      <w:r>
        <w:rPr>
          <w:sz w:val="32"/>
        </w:rPr>
        <w:t>1</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"_Toc499124840" </w:instrText>
      </w:r>
      <w:r>
        <w:fldChar w:fldCharType="separate"/>
      </w:r>
      <w:r>
        <w:rPr>
          <w:rStyle w:val="27"/>
          <w:rFonts w:hint="default" w:ascii="仿宋" w:hAnsi="仿宋" w:eastAsia="仿宋"/>
          <w:sz w:val="32"/>
        </w:rPr>
        <w:t>1.1项目名称</w:t>
      </w:r>
      <w:r>
        <w:rPr>
          <w:sz w:val="32"/>
        </w:rPr>
        <w:tab/>
      </w:r>
      <w:r>
        <w:rPr>
          <w:sz w:val="32"/>
        </w:rPr>
        <w:fldChar w:fldCharType="begin"/>
      </w:r>
      <w:r>
        <w:rPr>
          <w:sz w:val="32"/>
        </w:rPr>
        <w:instrText xml:space="preserve"> PAGEREF _Toc499124840 \h </w:instrText>
      </w:r>
      <w:r>
        <w:rPr>
          <w:sz w:val="32"/>
        </w:rPr>
        <w:fldChar w:fldCharType="separate"/>
      </w:r>
      <w:r>
        <w:rPr>
          <w:sz w:val="32"/>
        </w:rPr>
        <w:t>1</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"_Toc499124841" </w:instrText>
      </w:r>
      <w:r>
        <w:fldChar w:fldCharType="separate"/>
      </w:r>
      <w:r>
        <w:rPr>
          <w:rStyle w:val="27"/>
          <w:rFonts w:hint="default" w:ascii="仿宋" w:hAnsi="仿宋" w:eastAsia="仿宋"/>
          <w:sz w:val="32"/>
        </w:rPr>
        <w:t>1.2行业类别</w:t>
      </w:r>
      <w:r>
        <w:rPr>
          <w:sz w:val="32"/>
        </w:rPr>
        <w:tab/>
      </w:r>
      <w:r>
        <w:rPr>
          <w:sz w:val="32"/>
        </w:rPr>
        <w:fldChar w:fldCharType="begin"/>
      </w:r>
      <w:r>
        <w:rPr>
          <w:sz w:val="32"/>
        </w:rPr>
        <w:instrText xml:space="preserve"> PAGEREF _Toc499124841 \h </w:instrText>
      </w:r>
      <w:r>
        <w:rPr>
          <w:sz w:val="32"/>
        </w:rPr>
        <w:fldChar w:fldCharType="separate"/>
      </w:r>
      <w:r>
        <w:rPr>
          <w:sz w:val="32"/>
        </w:rPr>
        <w:t>1</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"_Toc499124842" </w:instrText>
      </w:r>
      <w:r>
        <w:fldChar w:fldCharType="separate"/>
      </w:r>
      <w:r>
        <w:rPr>
          <w:rStyle w:val="27"/>
          <w:rFonts w:hint="default" w:ascii="仿宋" w:hAnsi="仿宋" w:eastAsia="仿宋"/>
          <w:sz w:val="32"/>
        </w:rPr>
        <w:t>1.3建设性质</w:t>
      </w:r>
      <w:r>
        <w:rPr>
          <w:sz w:val="32"/>
        </w:rPr>
        <w:tab/>
      </w:r>
      <w:r>
        <w:rPr>
          <w:sz w:val="32"/>
        </w:rPr>
        <w:fldChar w:fldCharType="begin"/>
      </w:r>
      <w:r>
        <w:rPr>
          <w:sz w:val="32"/>
        </w:rPr>
        <w:instrText xml:space="preserve"> PAGEREF _Toc499124842 \h </w:instrText>
      </w:r>
      <w:r>
        <w:rPr>
          <w:sz w:val="32"/>
        </w:rPr>
        <w:fldChar w:fldCharType="separate"/>
      </w:r>
      <w:r>
        <w:rPr>
          <w:sz w:val="32"/>
        </w:rPr>
        <w:t>1</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"_Toc499124843" </w:instrText>
      </w:r>
      <w:r>
        <w:fldChar w:fldCharType="separate"/>
      </w:r>
      <w:r>
        <w:rPr>
          <w:rStyle w:val="27"/>
          <w:rFonts w:hint="default" w:ascii="仿宋" w:hAnsi="仿宋" w:eastAsia="仿宋"/>
          <w:sz w:val="32"/>
        </w:rPr>
        <w:t>1.4项目选址</w:t>
      </w:r>
      <w:r>
        <w:rPr>
          <w:sz w:val="32"/>
        </w:rPr>
        <w:tab/>
      </w:r>
      <w:r>
        <w:rPr>
          <w:sz w:val="32"/>
        </w:rPr>
        <w:fldChar w:fldCharType="begin"/>
      </w:r>
      <w:r>
        <w:rPr>
          <w:sz w:val="32"/>
        </w:rPr>
        <w:instrText xml:space="preserve"> PAGEREF _Toc499124843 \h </w:instrText>
      </w:r>
      <w:r>
        <w:rPr>
          <w:sz w:val="32"/>
        </w:rPr>
        <w:fldChar w:fldCharType="separate"/>
      </w:r>
      <w:r>
        <w:rPr>
          <w:sz w:val="32"/>
        </w:rPr>
        <w:t>1</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"_Toc499124844" </w:instrText>
      </w:r>
      <w:r>
        <w:fldChar w:fldCharType="separate"/>
      </w:r>
      <w:r>
        <w:rPr>
          <w:rStyle w:val="27"/>
          <w:rFonts w:hint="default" w:ascii="仿宋" w:hAnsi="仿宋" w:eastAsia="仿宋"/>
          <w:sz w:val="32"/>
        </w:rPr>
        <w:t>1.5合作方式</w:t>
      </w:r>
      <w:r>
        <w:rPr>
          <w:sz w:val="32"/>
        </w:rPr>
        <w:tab/>
      </w:r>
      <w:r>
        <w:rPr>
          <w:sz w:val="32"/>
        </w:rPr>
        <w:fldChar w:fldCharType="begin"/>
      </w:r>
      <w:r>
        <w:rPr>
          <w:sz w:val="32"/>
        </w:rPr>
        <w:instrText xml:space="preserve"> PAGEREF _Toc499124844 \h </w:instrText>
      </w:r>
      <w:r>
        <w:rPr>
          <w:sz w:val="32"/>
        </w:rPr>
        <w:fldChar w:fldCharType="separate"/>
      </w:r>
      <w:r>
        <w:rPr>
          <w:sz w:val="32"/>
        </w:rPr>
        <w:t>1</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"_Toc499124845" </w:instrText>
      </w:r>
      <w:r>
        <w:fldChar w:fldCharType="separate"/>
      </w:r>
      <w:r>
        <w:rPr>
          <w:rStyle w:val="27"/>
          <w:rFonts w:hint="default" w:ascii="仿宋" w:hAnsi="仿宋" w:eastAsia="仿宋"/>
          <w:sz w:val="32"/>
        </w:rPr>
        <w:t>1.6项目概述</w:t>
      </w:r>
      <w:r>
        <w:rPr>
          <w:sz w:val="32"/>
        </w:rPr>
        <w:tab/>
      </w:r>
      <w:r>
        <w:rPr>
          <w:sz w:val="32"/>
        </w:rPr>
        <w:fldChar w:fldCharType="begin"/>
      </w:r>
      <w:r>
        <w:rPr>
          <w:sz w:val="32"/>
        </w:rPr>
        <w:instrText xml:space="preserve"> PAGEREF _Toc499124845 \h </w:instrText>
      </w:r>
      <w:r>
        <w:rPr>
          <w:sz w:val="32"/>
        </w:rPr>
        <w:fldChar w:fldCharType="separate"/>
      </w:r>
      <w:r>
        <w:rPr>
          <w:sz w:val="32"/>
        </w:rPr>
        <w:t>1</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"_Toc499124846" </w:instrText>
      </w:r>
      <w:r>
        <w:fldChar w:fldCharType="separate"/>
      </w:r>
      <w:r>
        <w:rPr>
          <w:rStyle w:val="27"/>
          <w:rFonts w:hint="default" w:ascii="仿宋" w:hAnsi="仿宋" w:eastAsia="仿宋"/>
          <w:sz w:val="32"/>
        </w:rPr>
        <w:t>1.7投资金额及资金筹措</w:t>
      </w:r>
      <w:r>
        <w:rPr>
          <w:sz w:val="32"/>
        </w:rPr>
        <w:tab/>
      </w:r>
      <w:r>
        <w:rPr>
          <w:sz w:val="32"/>
        </w:rPr>
        <w:fldChar w:fldCharType="begin"/>
      </w:r>
      <w:r>
        <w:rPr>
          <w:sz w:val="32"/>
        </w:rPr>
        <w:instrText xml:space="preserve"> PAGEREF _Toc499124846 \h </w:instrText>
      </w:r>
      <w:r>
        <w:rPr>
          <w:sz w:val="32"/>
        </w:rPr>
        <w:fldChar w:fldCharType="separate"/>
      </w:r>
      <w:r>
        <w:rPr>
          <w:sz w:val="32"/>
        </w:rPr>
        <w:t>2</w:t>
      </w:r>
      <w:r>
        <w:rPr>
          <w:sz w:val="32"/>
        </w:rPr>
        <w:fldChar w:fldCharType="end"/>
      </w:r>
      <w:r>
        <w:fldChar w:fldCharType="end"/>
      </w:r>
    </w:p>
    <w:p>
      <w:pPr>
        <w:pStyle w:val="16"/>
        <w:tabs>
          <w:tab w:val="right" w:leader="dot" w:pos="8296"/>
        </w:tabs>
        <w:rPr>
          <w:sz w:val="32"/>
          <w:szCs w:val="22"/>
        </w:rPr>
      </w:pPr>
      <w:r>
        <w:fldChar w:fldCharType="begin"/>
      </w:r>
      <w:r>
        <w:instrText xml:space="preserve">HYPERLINK  \l "_Toc499124847" </w:instrText>
      </w:r>
      <w:r>
        <w:fldChar w:fldCharType="separate"/>
      </w:r>
      <w:r>
        <w:rPr>
          <w:rStyle w:val="27"/>
          <w:rFonts w:hint="default" w:ascii="仿宋" w:hAnsi="仿宋" w:eastAsia="仿宋"/>
          <w:sz w:val="32"/>
        </w:rPr>
        <w:t>2. 市场分析</w:t>
      </w:r>
      <w:r>
        <w:rPr>
          <w:sz w:val="32"/>
        </w:rPr>
        <w:tab/>
      </w:r>
      <w:r>
        <w:rPr>
          <w:sz w:val="32"/>
        </w:rPr>
        <w:fldChar w:fldCharType="begin"/>
      </w:r>
      <w:r>
        <w:rPr>
          <w:sz w:val="32"/>
        </w:rPr>
        <w:instrText xml:space="preserve"> PAGEREF _Toc499124847 \h </w:instrText>
      </w:r>
      <w:r>
        <w:rPr>
          <w:sz w:val="32"/>
        </w:rPr>
        <w:fldChar w:fldCharType="separate"/>
      </w:r>
      <w:r>
        <w:rPr>
          <w:sz w:val="32"/>
        </w:rPr>
        <w:t>2</w:t>
      </w:r>
      <w:r>
        <w:rPr>
          <w:sz w:val="32"/>
        </w:rPr>
        <w:fldChar w:fldCharType="end"/>
      </w:r>
      <w:r>
        <w:fldChar w:fldCharType="end"/>
      </w:r>
    </w:p>
    <w:p>
      <w:pPr>
        <w:pStyle w:val="16"/>
        <w:tabs>
          <w:tab w:val="right" w:leader="dot" w:pos="8296"/>
        </w:tabs>
        <w:rPr>
          <w:sz w:val="32"/>
          <w:szCs w:val="22"/>
        </w:rPr>
      </w:pPr>
      <w:r>
        <w:fldChar w:fldCharType="begin"/>
      </w:r>
      <w:r>
        <w:instrText xml:space="preserve">HYPERLINK  \l "_Toc499124848" </w:instrText>
      </w:r>
      <w:r>
        <w:fldChar w:fldCharType="separate"/>
      </w:r>
      <w:r>
        <w:rPr>
          <w:rStyle w:val="27"/>
          <w:rFonts w:hint="default" w:ascii="仿宋" w:hAnsi="仿宋" w:eastAsia="仿宋"/>
          <w:sz w:val="32"/>
        </w:rPr>
        <w:t>3. 项目建设内容</w:t>
      </w:r>
      <w:r>
        <w:rPr>
          <w:sz w:val="32"/>
        </w:rPr>
        <w:tab/>
      </w:r>
      <w:r>
        <w:rPr>
          <w:sz w:val="32"/>
        </w:rPr>
        <w:fldChar w:fldCharType="begin"/>
      </w:r>
      <w:r>
        <w:rPr>
          <w:sz w:val="32"/>
        </w:rPr>
        <w:instrText xml:space="preserve"> PAGEREF _Toc499124848 \h </w:instrText>
      </w:r>
      <w:r>
        <w:rPr>
          <w:sz w:val="32"/>
        </w:rPr>
        <w:fldChar w:fldCharType="separate"/>
      </w:r>
      <w:r>
        <w:rPr>
          <w:sz w:val="32"/>
        </w:rPr>
        <w:t>4</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"_Toc499124849" </w:instrText>
      </w:r>
      <w:r>
        <w:fldChar w:fldCharType="separate"/>
      </w:r>
      <w:r>
        <w:rPr>
          <w:rStyle w:val="27"/>
          <w:rFonts w:hint="default" w:ascii="仿宋" w:hAnsi="仿宋" w:eastAsia="仿宋"/>
          <w:sz w:val="32"/>
        </w:rPr>
        <w:t>3.1总体规划</w:t>
      </w:r>
      <w:r>
        <w:rPr>
          <w:sz w:val="32"/>
        </w:rPr>
        <w:tab/>
      </w:r>
      <w:r>
        <w:rPr>
          <w:sz w:val="32"/>
        </w:rPr>
        <w:fldChar w:fldCharType="begin"/>
      </w:r>
      <w:r>
        <w:rPr>
          <w:sz w:val="32"/>
        </w:rPr>
        <w:instrText xml:space="preserve"> PAGEREF _Toc499124849 \h </w:instrText>
      </w:r>
      <w:r>
        <w:rPr>
          <w:sz w:val="32"/>
        </w:rPr>
        <w:fldChar w:fldCharType="separate"/>
      </w:r>
      <w:r>
        <w:rPr>
          <w:sz w:val="32"/>
        </w:rPr>
        <w:t>4</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"_Toc499124850" </w:instrText>
      </w:r>
      <w:r>
        <w:fldChar w:fldCharType="separate"/>
      </w:r>
      <w:r>
        <w:rPr>
          <w:rStyle w:val="27"/>
          <w:rFonts w:hint="default" w:ascii="仿宋" w:hAnsi="仿宋" w:eastAsia="仿宋"/>
          <w:sz w:val="32"/>
        </w:rPr>
        <w:t>3.2发展目标</w:t>
      </w:r>
      <w:r>
        <w:rPr>
          <w:sz w:val="32"/>
        </w:rPr>
        <w:tab/>
      </w:r>
      <w:r>
        <w:rPr>
          <w:sz w:val="32"/>
        </w:rPr>
        <w:fldChar w:fldCharType="begin"/>
      </w:r>
      <w:r>
        <w:rPr>
          <w:sz w:val="32"/>
        </w:rPr>
        <w:instrText xml:space="preserve"> PAGEREF _Toc499124850 \h </w:instrText>
      </w:r>
      <w:r>
        <w:rPr>
          <w:sz w:val="32"/>
        </w:rPr>
        <w:fldChar w:fldCharType="separate"/>
      </w:r>
      <w:r>
        <w:rPr>
          <w:sz w:val="32"/>
        </w:rPr>
        <w:t>5</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"_Toc499124851" </w:instrText>
      </w:r>
      <w:r>
        <w:fldChar w:fldCharType="separate"/>
      </w:r>
      <w:r>
        <w:rPr>
          <w:rStyle w:val="27"/>
          <w:rFonts w:hint="default" w:ascii="仿宋" w:hAnsi="仿宋" w:eastAsia="仿宋"/>
          <w:sz w:val="32"/>
        </w:rPr>
        <w:t>3.3发展定位</w:t>
      </w:r>
      <w:r>
        <w:rPr>
          <w:sz w:val="32"/>
        </w:rPr>
        <w:tab/>
      </w:r>
      <w:r>
        <w:rPr>
          <w:sz w:val="32"/>
        </w:rPr>
        <w:fldChar w:fldCharType="begin"/>
      </w:r>
      <w:r>
        <w:rPr>
          <w:sz w:val="32"/>
        </w:rPr>
        <w:instrText xml:space="preserve"> PAGEREF _Toc499124851 \h </w:instrText>
      </w:r>
      <w:r>
        <w:rPr>
          <w:sz w:val="32"/>
        </w:rPr>
        <w:fldChar w:fldCharType="separate"/>
      </w:r>
      <w:r>
        <w:rPr>
          <w:sz w:val="32"/>
        </w:rPr>
        <w:t>6</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"_Toc499124852" </w:instrText>
      </w:r>
      <w:r>
        <w:fldChar w:fldCharType="separate"/>
      </w:r>
      <w:r>
        <w:rPr>
          <w:rStyle w:val="27"/>
          <w:rFonts w:hint="default" w:ascii="仿宋" w:hAnsi="仿宋" w:eastAsia="仿宋"/>
          <w:sz w:val="32"/>
        </w:rPr>
        <w:t>3.4规划主题</w:t>
      </w:r>
      <w:r>
        <w:rPr>
          <w:sz w:val="32"/>
        </w:rPr>
        <w:tab/>
      </w:r>
      <w:r>
        <w:rPr>
          <w:sz w:val="32"/>
        </w:rPr>
        <w:fldChar w:fldCharType="begin"/>
      </w:r>
      <w:r>
        <w:rPr>
          <w:sz w:val="32"/>
        </w:rPr>
        <w:instrText xml:space="preserve"> PAGEREF _Toc499124852 \h </w:instrText>
      </w:r>
      <w:r>
        <w:rPr>
          <w:sz w:val="32"/>
        </w:rPr>
        <w:fldChar w:fldCharType="separate"/>
      </w:r>
      <w:r>
        <w:rPr>
          <w:sz w:val="32"/>
        </w:rPr>
        <w:t>6</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"_Toc499124853" </w:instrText>
      </w:r>
      <w:r>
        <w:fldChar w:fldCharType="separate"/>
      </w:r>
      <w:r>
        <w:rPr>
          <w:rStyle w:val="27"/>
          <w:rFonts w:hint="default" w:ascii="仿宋" w:hAnsi="仿宋" w:eastAsia="仿宋"/>
          <w:sz w:val="32"/>
        </w:rPr>
        <w:t>3.5功能分区</w:t>
      </w:r>
      <w:r>
        <w:rPr>
          <w:sz w:val="32"/>
        </w:rPr>
        <w:tab/>
      </w:r>
      <w:r>
        <w:rPr>
          <w:sz w:val="32"/>
        </w:rPr>
        <w:fldChar w:fldCharType="begin"/>
      </w:r>
      <w:r>
        <w:rPr>
          <w:sz w:val="32"/>
        </w:rPr>
        <w:instrText xml:space="preserve"> PAGEREF _Toc499124853 \h </w:instrText>
      </w:r>
      <w:r>
        <w:rPr>
          <w:sz w:val="32"/>
        </w:rPr>
        <w:fldChar w:fldCharType="separate"/>
      </w:r>
      <w:r>
        <w:rPr>
          <w:sz w:val="32"/>
        </w:rPr>
        <w:t>7</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"_Toc499124854" </w:instrText>
      </w:r>
      <w:r>
        <w:fldChar w:fldCharType="separate"/>
      </w:r>
      <w:r>
        <w:rPr>
          <w:rStyle w:val="27"/>
          <w:rFonts w:hint="default" w:ascii="仿宋" w:hAnsi="仿宋" w:eastAsia="仿宋"/>
          <w:sz w:val="32"/>
        </w:rPr>
        <w:t>3.6产业布局</w:t>
      </w:r>
      <w:r>
        <w:rPr>
          <w:sz w:val="32"/>
        </w:rPr>
        <w:tab/>
      </w:r>
      <w:r>
        <w:rPr>
          <w:sz w:val="32"/>
        </w:rPr>
        <w:fldChar w:fldCharType="begin"/>
      </w:r>
      <w:r>
        <w:rPr>
          <w:sz w:val="32"/>
        </w:rPr>
        <w:instrText xml:space="preserve"> PAGEREF _Toc499124854 \h </w:instrText>
      </w:r>
      <w:r>
        <w:rPr>
          <w:sz w:val="32"/>
        </w:rPr>
        <w:fldChar w:fldCharType="separate"/>
      </w:r>
      <w:r>
        <w:rPr>
          <w:sz w:val="32"/>
        </w:rPr>
        <w:t>9</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"_Toc499124855" </w:instrText>
      </w:r>
      <w:r>
        <w:fldChar w:fldCharType="separate"/>
      </w:r>
      <w:r>
        <w:rPr>
          <w:rStyle w:val="27"/>
          <w:rFonts w:hint="default" w:ascii="仿宋" w:hAnsi="仿宋" w:eastAsia="仿宋"/>
          <w:sz w:val="32"/>
        </w:rPr>
        <w:t>3.7配套设施建设</w:t>
      </w:r>
      <w:r>
        <w:rPr>
          <w:sz w:val="32"/>
        </w:rPr>
        <w:tab/>
      </w:r>
      <w:r>
        <w:rPr>
          <w:sz w:val="32"/>
        </w:rPr>
        <w:fldChar w:fldCharType="begin"/>
      </w:r>
      <w:r>
        <w:rPr>
          <w:sz w:val="32"/>
        </w:rPr>
        <w:instrText xml:space="preserve"> PAGEREF _Toc499124855 \h </w:instrText>
      </w:r>
      <w:r>
        <w:rPr>
          <w:sz w:val="32"/>
        </w:rPr>
        <w:fldChar w:fldCharType="separate"/>
      </w:r>
      <w:r>
        <w:rPr>
          <w:sz w:val="32"/>
        </w:rPr>
        <w:t>9</w:t>
      </w:r>
      <w:r>
        <w:rPr>
          <w:sz w:val="32"/>
        </w:rPr>
        <w:fldChar w:fldCharType="end"/>
      </w:r>
      <w:r>
        <w:fldChar w:fldCharType="end"/>
      </w:r>
    </w:p>
    <w:p>
      <w:pPr>
        <w:pStyle w:val="16"/>
        <w:tabs>
          <w:tab w:val="right" w:leader="dot" w:pos="8296"/>
        </w:tabs>
        <w:rPr>
          <w:sz w:val="32"/>
          <w:szCs w:val="22"/>
        </w:rPr>
      </w:pPr>
      <w:r>
        <w:fldChar w:fldCharType="begin"/>
      </w:r>
      <w:r>
        <w:instrText xml:space="preserve">HYPERLINK  \l "_Toc499124856" </w:instrText>
      </w:r>
      <w:r>
        <w:fldChar w:fldCharType="separate"/>
      </w:r>
      <w:r>
        <w:rPr>
          <w:rStyle w:val="27"/>
          <w:rFonts w:hint="default" w:ascii="仿宋" w:hAnsi="仿宋" w:eastAsia="仿宋"/>
          <w:sz w:val="32"/>
        </w:rPr>
        <w:t>4. 项目建设条件</w:t>
      </w:r>
      <w:r>
        <w:rPr>
          <w:sz w:val="32"/>
        </w:rPr>
        <w:tab/>
      </w:r>
      <w:r>
        <w:rPr>
          <w:sz w:val="32"/>
        </w:rPr>
        <w:fldChar w:fldCharType="begin"/>
      </w:r>
      <w:r>
        <w:rPr>
          <w:sz w:val="32"/>
        </w:rPr>
        <w:instrText xml:space="preserve"> PAGEREF _Toc499124856 \h </w:instrText>
      </w:r>
      <w:r>
        <w:rPr>
          <w:sz w:val="32"/>
        </w:rPr>
        <w:fldChar w:fldCharType="separate"/>
      </w:r>
      <w:r>
        <w:rPr>
          <w:sz w:val="32"/>
        </w:rPr>
        <w:t>10</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"_Toc499124857" </w:instrText>
      </w:r>
      <w:r>
        <w:fldChar w:fldCharType="separate"/>
      </w:r>
      <w:r>
        <w:rPr>
          <w:rStyle w:val="27"/>
          <w:rFonts w:hint="default" w:ascii="仿宋" w:hAnsi="仿宋" w:eastAsia="仿宋"/>
          <w:sz w:val="32"/>
        </w:rPr>
        <w:t>4.1区位交通条件</w:t>
      </w:r>
      <w:r>
        <w:rPr>
          <w:sz w:val="32"/>
        </w:rPr>
        <w:tab/>
      </w:r>
      <w:r>
        <w:rPr>
          <w:sz w:val="32"/>
        </w:rPr>
        <w:fldChar w:fldCharType="begin"/>
      </w:r>
      <w:r>
        <w:rPr>
          <w:sz w:val="32"/>
        </w:rPr>
        <w:instrText xml:space="preserve"> PAGEREF _Toc499124857 \h </w:instrText>
      </w:r>
      <w:r>
        <w:rPr>
          <w:sz w:val="32"/>
        </w:rPr>
        <w:fldChar w:fldCharType="separate"/>
      </w:r>
      <w:r>
        <w:rPr>
          <w:sz w:val="32"/>
        </w:rPr>
        <w:t>10</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"_Toc499124858" </w:instrText>
      </w:r>
      <w:r>
        <w:fldChar w:fldCharType="separate"/>
      </w:r>
      <w:r>
        <w:rPr>
          <w:rStyle w:val="27"/>
          <w:rFonts w:hint="default" w:ascii="仿宋" w:hAnsi="仿宋" w:eastAsia="仿宋"/>
          <w:sz w:val="32"/>
        </w:rPr>
        <w:t>4.2资源环境条件</w:t>
      </w:r>
      <w:r>
        <w:rPr>
          <w:sz w:val="32"/>
        </w:rPr>
        <w:tab/>
      </w:r>
      <w:r>
        <w:rPr>
          <w:sz w:val="32"/>
        </w:rPr>
        <w:fldChar w:fldCharType="begin"/>
      </w:r>
      <w:r>
        <w:rPr>
          <w:sz w:val="32"/>
        </w:rPr>
        <w:instrText xml:space="preserve"> PAGEREF _Toc499124858 \h </w:instrText>
      </w:r>
      <w:r>
        <w:rPr>
          <w:sz w:val="32"/>
        </w:rPr>
        <w:fldChar w:fldCharType="separate"/>
      </w:r>
      <w:r>
        <w:rPr>
          <w:sz w:val="32"/>
        </w:rPr>
        <w:t>11</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"_Toc499124859" </w:instrText>
      </w:r>
      <w:r>
        <w:fldChar w:fldCharType="separate"/>
      </w:r>
      <w:r>
        <w:rPr>
          <w:rStyle w:val="27"/>
          <w:rFonts w:hint="default" w:ascii="仿宋" w:hAnsi="仿宋" w:eastAsia="仿宋"/>
          <w:sz w:val="32"/>
        </w:rPr>
        <w:t>4.3可开发条件</w:t>
      </w:r>
      <w:r>
        <w:rPr>
          <w:sz w:val="32"/>
        </w:rPr>
        <w:tab/>
      </w:r>
      <w:r>
        <w:rPr>
          <w:sz w:val="32"/>
        </w:rPr>
        <w:fldChar w:fldCharType="begin"/>
      </w:r>
      <w:r>
        <w:rPr>
          <w:sz w:val="32"/>
        </w:rPr>
        <w:instrText xml:space="preserve"> PAGEREF _Toc499124859 \h </w:instrText>
      </w:r>
      <w:r>
        <w:rPr>
          <w:sz w:val="32"/>
        </w:rPr>
        <w:fldChar w:fldCharType="separate"/>
      </w:r>
      <w:r>
        <w:rPr>
          <w:sz w:val="32"/>
        </w:rPr>
        <w:t>11</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"_Toc499124860" </w:instrText>
      </w:r>
      <w:r>
        <w:fldChar w:fldCharType="separate"/>
      </w:r>
      <w:r>
        <w:rPr>
          <w:rStyle w:val="27"/>
          <w:rFonts w:hint="default" w:ascii="仿宋" w:hAnsi="仿宋" w:eastAsia="仿宋"/>
          <w:sz w:val="32"/>
        </w:rPr>
        <w:t>4.4项目进度安排</w:t>
      </w:r>
      <w:r>
        <w:rPr>
          <w:sz w:val="32"/>
        </w:rPr>
        <w:tab/>
      </w:r>
      <w:r>
        <w:rPr>
          <w:sz w:val="32"/>
        </w:rPr>
        <w:fldChar w:fldCharType="begin"/>
      </w:r>
      <w:r>
        <w:rPr>
          <w:sz w:val="32"/>
        </w:rPr>
        <w:instrText xml:space="preserve"> PAGEREF _Toc499124860 \h </w:instrText>
      </w:r>
      <w:r>
        <w:rPr>
          <w:sz w:val="32"/>
        </w:rPr>
        <w:fldChar w:fldCharType="separate"/>
      </w:r>
      <w:r>
        <w:rPr>
          <w:sz w:val="32"/>
        </w:rPr>
        <w:t>12</w:t>
      </w:r>
      <w:r>
        <w:rPr>
          <w:sz w:val="32"/>
        </w:rPr>
        <w:fldChar w:fldCharType="end"/>
      </w:r>
      <w:r>
        <w:fldChar w:fldCharType="end"/>
      </w:r>
    </w:p>
    <w:p>
      <w:pPr>
        <w:pStyle w:val="16"/>
        <w:tabs>
          <w:tab w:val="right" w:leader="dot" w:pos="8296"/>
        </w:tabs>
        <w:rPr>
          <w:sz w:val="32"/>
          <w:szCs w:val="22"/>
        </w:rPr>
      </w:pPr>
      <w:r>
        <w:fldChar w:fldCharType="begin"/>
      </w:r>
      <w:r>
        <w:instrText xml:space="preserve">HYPERLINK  \l "_Toc499124861" </w:instrText>
      </w:r>
      <w:r>
        <w:fldChar w:fldCharType="separate"/>
      </w:r>
      <w:r>
        <w:rPr>
          <w:rStyle w:val="27"/>
          <w:rFonts w:hint="default" w:ascii="仿宋" w:hAnsi="仿宋" w:eastAsia="仿宋"/>
          <w:sz w:val="32"/>
        </w:rPr>
        <w:t>5. 财务分析</w:t>
      </w:r>
      <w:r>
        <w:rPr>
          <w:sz w:val="32"/>
        </w:rPr>
        <w:tab/>
      </w:r>
      <w:r>
        <w:rPr>
          <w:sz w:val="32"/>
        </w:rPr>
        <w:fldChar w:fldCharType="begin"/>
      </w:r>
      <w:r>
        <w:rPr>
          <w:sz w:val="32"/>
        </w:rPr>
        <w:instrText xml:space="preserve"> PAGEREF _Toc499124861 \h </w:instrText>
      </w:r>
      <w:r>
        <w:rPr>
          <w:sz w:val="32"/>
        </w:rPr>
        <w:fldChar w:fldCharType="separate"/>
      </w:r>
      <w:r>
        <w:rPr>
          <w:sz w:val="32"/>
        </w:rPr>
        <w:t>13</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"_Toc499124862" </w:instrText>
      </w:r>
      <w:r>
        <w:fldChar w:fldCharType="separate"/>
      </w:r>
      <w:r>
        <w:rPr>
          <w:rStyle w:val="27"/>
          <w:rFonts w:hint="default" w:ascii="仿宋" w:hAnsi="仿宋" w:eastAsia="仿宋"/>
          <w:sz w:val="32"/>
        </w:rPr>
        <w:t>5.1 经济效益分析</w:t>
      </w:r>
      <w:r>
        <w:rPr>
          <w:sz w:val="32"/>
        </w:rPr>
        <w:tab/>
      </w:r>
      <w:r>
        <w:rPr>
          <w:sz w:val="32"/>
        </w:rPr>
        <w:fldChar w:fldCharType="begin"/>
      </w:r>
      <w:r>
        <w:rPr>
          <w:sz w:val="32"/>
        </w:rPr>
        <w:instrText xml:space="preserve"> PAGEREF _Toc499124862 \h </w:instrText>
      </w:r>
      <w:r>
        <w:rPr>
          <w:sz w:val="32"/>
        </w:rPr>
        <w:fldChar w:fldCharType="separate"/>
      </w:r>
      <w:r>
        <w:rPr>
          <w:sz w:val="32"/>
        </w:rPr>
        <w:t>13</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"_Toc499124863" </w:instrText>
      </w:r>
      <w:r>
        <w:fldChar w:fldCharType="separate"/>
      </w:r>
      <w:r>
        <w:rPr>
          <w:rStyle w:val="27"/>
          <w:rFonts w:hint="default" w:ascii="仿宋" w:hAnsi="仿宋" w:eastAsia="仿宋"/>
          <w:sz w:val="32"/>
        </w:rPr>
        <w:t>5.2 财务评价</w:t>
      </w:r>
      <w:r>
        <w:rPr>
          <w:sz w:val="32"/>
        </w:rPr>
        <w:tab/>
      </w:r>
      <w:r>
        <w:rPr>
          <w:sz w:val="32"/>
        </w:rPr>
        <w:fldChar w:fldCharType="begin"/>
      </w:r>
      <w:r>
        <w:rPr>
          <w:sz w:val="32"/>
        </w:rPr>
        <w:instrText xml:space="preserve"> PAGEREF _Toc499124863 \h </w:instrText>
      </w:r>
      <w:r>
        <w:rPr>
          <w:sz w:val="32"/>
        </w:rPr>
        <w:fldChar w:fldCharType="separate"/>
      </w:r>
      <w:r>
        <w:rPr>
          <w:sz w:val="32"/>
        </w:rPr>
        <w:t>16</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"_Toc499124864" </w:instrText>
      </w:r>
      <w:r>
        <w:fldChar w:fldCharType="separate"/>
      </w:r>
      <w:r>
        <w:rPr>
          <w:rStyle w:val="27"/>
          <w:rFonts w:hint="default" w:ascii="仿宋" w:hAnsi="仿宋" w:eastAsia="仿宋"/>
          <w:sz w:val="32"/>
        </w:rPr>
        <w:t>5.2.1 盈利能力评价</w:t>
      </w:r>
      <w:r>
        <w:rPr>
          <w:sz w:val="32"/>
        </w:rPr>
        <w:tab/>
      </w:r>
      <w:r>
        <w:rPr>
          <w:sz w:val="32"/>
        </w:rPr>
        <w:fldChar w:fldCharType="begin"/>
      </w:r>
      <w:r>
        <w:rPr>
          <w:sz w:val="32"/>
        </w:rPr>
        <w:instrText xml:space="preserve"> PAGEREF _Toc499124864 \h </w:instrText>
      </w:r>
      <w:r>
        <w:rPr>
          <w:sz w:val="32"/>
        </w:rPr>
        <w:fldChar w:fldCharType="separate"/>
      </w:r>
      <w:r>
        <w:rPr>
          <w:sz w:val="32"/>
        </w:rPr>
        <w:t>16</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"_Toc499124865" </w:instrText>
      </w:r>
      <w:r>
        <w:fldChar w:fldCharType="separate"/>
      </w:r>
      <w:r>
        <w:rPr>
          <w:rStyle w:val="27"/>
          <w:rFonts w:hint="default" w:ascii="仿宋" w:hAnsi="仿宋" w:eastAsia="仿宋"/>
          <w:sz w:val="32"/>
        </w:rPr>
        <w:t>5.2.2 清偿能力评价</w:t>
      </w:r>
      <w:r>
        <w:rPr>
          <w:sz w:val="32"/>
        </w:rPr>
        <w:tab/>
      </w:r>
      <w:r>
        <w:rPr>
          <w:sz w:val="32"/>
        </w:rPr>
        <w:fldChar w:fldCharType="begin"/>
      </w:r>
      <w:r>
        <w:rPr>
          <w:sz w:val="32"/>
        </w:rPr>
        <w:instrText xml:space="preserve"> PAGEREF _Toc499124865 \h </w:instrText>
      </w:r>
      <w:r>
        <w:rPr>
          <w:sz w:val="32"/>
        </w:rPr>
        <w:fldChar w:fldCharType="separate"/>
      </w:r>
      <w:r>
        <w:rPr>
          <w:sz w:val="32"/>
        </w:rPr>
        <w:t>17</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"_Toc499124866" </w:instrText>
      </w:r>
      <w:r>
        <w:fldChar w:fldCharType="separate"/>
      </w:r>
      <w:r>
        <w:rPr>
          <w:rStyle w:val="27"/>
          <w:rFonts w:hint="default" w:ascii="仿宋" w:hAnsi="仿宋" w:eastAsia="仿宋"/>
          <w:sz w:val="32"/>
        </w:rPr>
        <w:t>5.2.3 风险评价</w:t>
      </w:r>
      <w:r>
        <w:rPr>
          <w:sz w:val="32"/>
        </w:rPr>
        <w:tab/>
      </w:r>
      <w:r>
        <w:rPr>
          <w:sz w:val="32"/>
        </w:rPr>
        <w:fldChar w:fldCharType="begin"/>
      </w:r>
      <w:r>
        <w:rPr>
          <w:sz w:val="32"/>
        </w:rPr>
        <w:instrText xml:space="preserve"> PAGEREF _Toc499124866 \h </w:instrText>
      </w:r>
      <w:r>
        <w:rPr>
          <w:sz w:val="32"/>
        </w:rPr>
        <w:fldChar w:fldCharType="separate"/>
      </w:r>
      <w:r>
        <w:rPr>
          <w:sz w:val="32"/>
        </w:rPr>
        <w:t>17</w:t>
      </w:r>
      <w:r>
        <w:rPr>
          <w:sz w:val="32"/>
        </w:rPr>
        <w:fldChar w:fldCharType="end"/>
      </w:r>
      <w:r>
        <w:fldChar w:fldCharType="end"/>
      </w:r>
    </w:p>
    <w:p>
      <w:pPr>
        <w:pStyle w:val="16"/>
        <w:tabs>
          <w:tab w:val="right" w:leader="dot" w:pos="8296"/>
        </w:tabs>
        <w:rPr>
          <w:sz w:val="32"/>
          <w:szCs w:val="22"/>
        </w:rPr>
      </w:pPr>
      <w:r>
        <w:fldChar w:fldCharType="begin"/>
      </w:r>
      <w:r>
        <w:instrText xml:space="preserve">HYPERLINK  \l "_Toc499124867" </w:instrText>
      </w:r>
      <w:r>
        <w:fldChar w:fldCharType="separate"/>
      </w:r>
      <w:r>
        <w:rPr>
          <w:rStyle w:val="27"/>
          <w:rFonts w:hint="default" w:ascii="仿宋" w:hAnsi="仿宋" w:eastAsia="仿宋"/>
          <w:sz w:val="32"/>
        </w:rPr>
        <w:t>6. 产业发展环境</w:t>
      </w:r>
      <w:r>
        <w:rPr>
          <w:sz w:val="32"/>
        </w:rPr>
        <w:tab/>
      </w:r>
      <w:r>
        <w:rPr>
          <w:sz w:val="32"/>
        </w:rPr>
        <w:fldChar w:fldCharType="begin"/>
      </w:r>
      <w:r>
        <w:rPr>
          <w:sz w:val="32"/>
        </w:rPr>
        <w:instrText xml:space="preserve"> PAGEREF _Toc499124867 \h </w:instrText>
      </w:r>
      <w:r>
        <w:rPr>
          <w:sz w:val="32"/>
        </w:rPr>
        <w:fldChar w:fldCharType="separate"/>
      </w:r>
      <w:r>
        <w:rPr>
          <w:sz w:val="32"/>
        </w:rPr>
        <w:t>18</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"_Toc499124868" </w:instrText>
      </w:r>
      <w:r>
        <w:fldChar w:fldCharType="separate"/>
      </w:r>
      <w:r>
        <w:rPr>
          <w:rStyle w:val="27"/>
          <w:rFonts w:hint="default" w:ascii="仿宋" w:hAnsi="仿宋" w:eastAsia="仿宋"/>
          <w:sz w:val="32"/>
        </w:rPr>
        <w:t>6.1旅游资源环境</w:t>
      </w:r>
      <w:r>
        <w:rPr>
          <w:sz w:val="32"/>
        </w:rPr>
        <w:tab/>
      </w:r>
      <w:r>
        <w:rPr>
          <w:sz w:val="32"/>
        </w:rPr>
        <w:fldChar w:fldCharType="begin"/>
      </w:r>
      <w:r>
        <w:rPr>
          <w:sz w:val="32"/>
        </w:rPr>
        <w:instrText xml:space="preserve"> PAGEREF _Toc499124868 \h </w:instrText>
      </w:r>
      <w:r>
        <w:rPr>
          <w:sz w:val="32"/>
        </w:rPr>
        <w:fldChar w:fldCharType="separate"/>
      </w:r>
      <w:r>
        <w:rPr>
          <w:sz w:val="32"/>
        </w:rPr>
        <w:t>18</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"_Toc499124869" </w:instrText>
      </w:r>
      <w:r>
        <w:fldChar w:fldCharType="separate"/>
      </w:r>
      <w:r>
        <w:rPr>
          <w:rStyle w:val="27"/>
          <w:rFonts w:hint="default" w:ascii="仿宋" w:hAnsi="仿宋" w:eastAsia="仿宋"/>
          <w:sz w:val="32"/>
        </w:rPr>
        <w:t>6.2政策环境</w:t>
      </w:r>
      <w:r>
        <w:rPr>
          <w:sz w:val="32"/>
        </w:rPr>
        <w:tab/>
      </w:r>
      <w:r>
        <w:rPr>
          <w:sz w:val="32"/>
        </w:rPr>
        <w:fldChar w:fldCharType="begin"/>
      </w:r>
      <w:r>
        <w:rPr>
          <w:sz w:val="32"/>
        </w:rPr>
        <w:instrText xml:space="preserve"> PAGEREF _Toc499124869 \h </w:instrText>
      </w:r>
      <w:r>
        <w:rPr>
          <w:sz w:val="32"/>
        </w:rPr>
        <w:fldChar w:fldCharType="separate"/>
      </w:r>
      <w:r>
        <w:rPr>
          <w:sz w:val="32"/>
        </w:rPr>
        <w:t>18</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"_Toc499124870" </w:instrText>
      </w:r>
      <w:r>
        <w:fldChar w:fldCharType="separate"/>
      </w:r>
      <w:r>
        <w:rPr>
          <w:rStyle w:val="27"/>
          <w:rFonts w:hint="default" w:ascii="仿宋" w:hAnsi="仿宋" w:eastAsia="仿宋"/>
          <w:sz w:val="32"/>
        </w:rPr>
        <w:t>6.3政务环境</w:t>
      </w:r>
      <w:r>
        <w:rPr>
          <w:sz w:val="32"/>
        </w:rPr>
        <w:tab/>
      </w:r>
      <w:r>
        <w:rPr>
          <w:sz w:val="32"/>
        </w:rPr>
        <w:fldChar w:fldCharType="begin"/>
      </w:r>
      <w:r>
        <w:rPr>
          <w:sz w:val="32"/>
        </w:rPr>
        <w:instrText xml:space="preserve"> PAGEREF _Toc499124870 \h </w:instrText>
      </w:r>
      <w:r>
        <w:rPr>
          <w:sz w:val="32"/>
        </w:rPr>
        <w:fldChar w:fldCharType="separate"/>
      </w:r>
      <w:r>
        <w:rPr>
          <w:sz w:val="32"/>
        </w:rPr>
        <w:t>19</w:t>
      </w:r>
      <w:r>
        <w:rPr>
          <w:sz w:val="32"/>
        </w:rPr>
        <w:fldChar w:fldCharType="end"/>
      </w:r>
      <w:r>
        <w:fldChar w:fldCharType="end"/>
      </w:r>
    </w:p>
    <w:p>
      <w:pPr>
        <w:pStyle w:val="16"/>
        <w:tabs>
          <w:tab w:val="right" w:leader="dot" w:pos="8296"/>
        </w:tabs>
        <w:rPr>
          <w:sz w:val="32"/>
          <w:szCs w:val="22"/>
        </w:rPr>
      </w:pPr>
      <w:r>
        <w:fldChar w:fldCharType="begin"/>
      </w:r>
      <w:r>
        <w:instrText xml:space="preserve">HYPERLINK  \l "_Toc499124871" </w:instrText>
      </w:r>
      <w:r>
        <w:fldChar w:fldCharType="separate"/>
      </w:r>
      <w:r>
        <w:rPr>
          <w:rStyle w:val="27"/>
          <w:rFonts w:hint="default" w:ascii="仿宋" w:hAnsi="仿宋" w:eastAsia="仿宋"/>
          <w:sz w:val="32"/>
        </w:rPr>
        <w:t>7. 区域招商优势</w:t>
      </w:r>
      <w:r>
        <w:rPr>
          <w:sz w:val="32"/>
        </w:rPr>
        <w:tab/>
      </w:r>
      <w:r>
        <w:rPr>
          <w:sz w:val="32"/>
        </w:rPr>
        <w:fldChar w:fldCharType="begin"/>
      </w:r>
      <w:r>
        <w:rPr>
          <w:sz w:val="32"/>
        </w:rPr>
        <w:instrText xml:space="preserve"> PAGEREF _Toc499124871 \h </w:instrText>
      </w:r>
      <w:r>
        <w:rPr>
          <w:sz w:val="32"/>
        </w:rPr>
        <w:fldChar w:fldCharType="separate"/>
      </w:r>
      <w:r>
        <w:rPr>
          <w:sz w:val="32"/>
        </w:rPr>
        <w:t>20</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"_Toc499124872" </w:instrText>
      </w:r>
      <w:r>
        <w:fldChar w:fldCharType="separate"/>
      </w:r>
      <w:r>
        <w:rPr>
          <w:rStyle w:val="27"/>
          <w:rFonts w:hint="default" w:ascii="仿宋" w:hAnsi="仿宋" w:eastAsia="仿宋"/>
          <w:sz w:val="32"/>
        </w:rPr>
        <w:t>7.1区位</w:t>
      </w:r>
      <w:r>
        <w:rPr>
          <w:sz w:val="32"/>
        </w:rPr>
        <w:tab/>
      </w:r>
      <w:r>
        <w:rPr>
          <w:sz w:val="32"/>
        </w:rPr>
        <w:fldChar w:fldCharType="begin"/>
      </w:r>
      <w:r>
        <w:rPr>
          <w:sz w:val="32"/>
        </w:rPr>
        <w:instrText xml:space="preserve"> PAGEREF _Toc499124872 \h </w:instrText>
      </w:r>
      <w:r>
        <w:rPr>
          <w:sz w:val="32"/>
        </w:rPr>
        <w:fldChar w:fldCharType="separate"/>
      </w:r>
      <w:r>
        <w:rPr>
          <w:sz w:val="32"/>
        </w:rPr>
        <w:t>20</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"_Toc499124873" </w:instrText>
      </w:r>
      <w:r>
        <w:fldChar w:fldCharType="separate"/>
      </w:r>
      <w:r>
        <w:rPr>
          <w:rStyle w:val="27"/>
          <w:rFonts w:hint="default" w:ascii="仿宋" w:hAnsi="仿宋" w:eastAsia="仿宋"/>
          <w:sz w:val="32"/>
        </w:rPr>
        <w:t>7.2交通</w:t>
      </w:r>
      <w:r>
        <w:rPr>
          <w:sz w:val="32"/>
        </w:rPr>
        <w:tab/>
      </w:r>
      <w:r>
        <w:rPr>
          <w:sz w:val="32"/>
        </w:rPr>
        <w:fldChar w:fldCharType="begin"/>
      </w:r>
      <w:r>
        <w:rPr>
          <w:sz w:val="32"/>
        </w:rPr>
        <w:instrText xml:space="preserve"> PAGEREF _Toc499124873 \h </w:instrText>
      </w:r>
      <w:r>
        <w:rPr>
          <w:sz w:val="32"/>
        </w:rPr>
        <w:fldChar w:fldCharType="separate"/>
      </w:r>
      <w:r>
        <w:rPr>
          <w:sz w:val="32"/>
        </w:rPr>
        <w:t>20</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"_Toc499124874" </w:instrText>
      </w:r>
      <w:r>
        <w:fldChar w:fldCharType="separate"/>
      </w:r>
      <w:r>
        <w:rPr>
          <w:rStyle w:val="27"/>
          <w:rFonts w:hint="default" w:ascii="仿宋" w:hAnsi="仿宋" w:eastAsia="仿宋"/>
          <w:sz w:val="32"/>
        </w:rPr>
        <w:t>7.3气候</w:t>
      </w:r>
      <w:r>
        <w:rPr>
          <w:sz w:val="32"/>
        </w:rPr>
        <w:tab/>
      </w:r>
      <w:r>
        <w:rPr>
          <w:sz w:val="32"/>
        </w:rPr>
        <w:fldChar w:fldCharType="begin"/>
      </w:r>
      <w:r>
        <w:rPr>
          <w:sz w:val="32"/>
        </w:rPr>
        <w:instrText xml:space="preserve"> PAGEREF _Toc499124874 \h </w:instrText>
      </w:r>
      <w:r>
        <w:rPr>
          <w:sz w:val="32"/>
        </w:rPr>
        <w:fldChar w:fldCharType="separate"/>
      </w:r>
      <w:r>
        <w:rPr>
          <w:sz w:val="32"/>
        </w:rPr>
        <w:t>21</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"_Toc499124875" </w:instrText>
      </w:r>
      <w:r>
        <w:fldChar w:fldCharType="separate"/>
      </w:r>
      <w:r>
        <w:rPr>
          <w:rStyle w:val="27"/>
          <w:rFonts w:hint="default" w:ascii="仿宋" w:hAnsi="仿宋" w:eastAsia="仿宋"/>
          <w:sz w:val="32"/>
        </w:rPr>
        <w:t>7.4生产要素</w:t>
      </w:r>
      <w:r>
        <w:rPr>
          <w:sz w:val="32"/>
        </w:rPr>
        <w:tab/>
      </w:r>
      <w:r>
        <w:rPr>
          <w:sz w:val="32"/>
        </w:rPr>
        <w:fldChar w:fldCharType="begin"/>
      </w:r>
      <w:r>
        <w:rPr>
          <w:sz w:val="32"/>
        </w:rPr>
        <w:instrText xml:space="preserve"> PAGEREF _Toc499124875 \h </w:instrText>
      </w:r>
      <w:r>
        <w:rPr>
          <w:sz w:val="32"/>
        </w:rPr>
        <w:fldChar w:fldCharType="separate"/>
      </w:r>
      <w:r>
        <w:rPr>
          <w:sz w:val="32"/>
        </w:rPr>
        <w:t>21</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"_Toc499124876" </w:instrText>
      </w:r>
      <w:r>
        <w:fldChar w:fldCharType="separate"/>
      </w:r>
      <w:r>
        <w:rPr>
          <w:rStyle w:val="27"/>
          <w:rFonts w:hint="default" w:ascii="仿宋" w:hAnsi="仿宋" w:eastAsia="仿宋"/>
          <w:sz w:val="32"/>
        </w:rPr>
        <w:t>7.5息烽县概况</w:t>
      </w:r>
      <w:r>
        <w:rPr>
          <w:sz w:val="32"/>
        </w:rPr>
        <w:tab/>
      </w:r>
      <w:r>
        <w:rPr>
          <w:sz w:val="32"/>
        </w:rPr>
        <w:fldChar w:fldCharType="begin"/>
      </w:r>
      <w:r>
        <w:rPr>
          <w:sz w:val="32"/>
        </w:rPr>
        <w:instrText xml:space="preserve"> PAGEREF _Toc499124876 \h </w:instrText>
      </w:r>
      <w:r>
        <w:rPr>
          <w:sz w:val="32"/>
        </w:rPr>
        <w:fldChar w:fldCharType="separate"/>
      </w:r>
      <w:r>
        <w:rPr>
          <w:sz w:val="32"/>
        </w:rPr>
        <w:t>21</w:t>
      </w:r>
      <w:r>
        <w:rPr>
          <w:sz w:val="32"/>
        </w:rPr>
        <w:fldChar w:fldCharType="end"/>
      </w:r>
      <w:r>
        <w:fldChar w:fldCharType="end"/>
      </w:r>
    </w:p>
    <w:p>
      <w:pPr>
        <w:pStyle w:val="16"/>
        <w:tabs>
          <w:tab w:val="right" w:leader="dot" w:pos="8296"/>
        </w:tabs>
        <w:rPr>
          <w:sz w:val="32"/>
          <w:szCs w:val="22"/>
        </w:rPr>
      </w:pPr>
      <w:r>
        <w:fldChar w:fldCharType="begin"/>
      </w:r>
      <w:r>
        <w:instrText xml:space="preserve">HYPERLINK  \l "_Toc499124877" </w:instrText>
      </w:r>
      <w:r>
        <w:fldChar w:fldCharType="separate"/>
      </w:r>
      <w:r>
        <w:rPr>
          <w:rStyle w:val="27"/>
          <w:rFonts w:hint="default" w:ascii="仿宋" w:hAnsi="仿宋" w:eastAsia="仿宋"/>
          <w:sz w:val="32"/>
        </w:rPr>
        <w:t>8. 招商需求及方向</w:t>
      </w:r>
      <w:r>
        <w:rPr>
          <w:sz w:val="32"/>
        </w:rPr>
        <w:tab/>
      </w:r>
      <w:r>
        <w:rPr>
          <w:sz w:val="32"/>
        </w:rPr>
        <w:fldChar w:fldCharType="begin"/>
      </w:r>
      <w:r>
        <w:rPr>
          <w:sz w:val="32"/>
        </w:rPr>
        <w:instrText xml:space="preserve"> PAGEREF _Toc499124877 \h </w:instrText>
      </w:r>
      <w:r>
        <w:rPr>
          <w:sz w:val="32"/>
        </w:rPr>
        <w:fldChar w:fldCharType="separate"/>
      </w:r>
      <w:r>
        <w:rPr>
          <w:sz w:val="32"/>
        </w:rPr>
        <w:t>22</w:t>
      </w:r>
      <w:r>
        <w:rPr>
          <w:sz w:val="32"/>
        </w:rPr>
        <w:fldChar w:fldCharType="end"/>
      </w:r>
      <w:r>
        <w:fldChar w:fldCharType="end"/>
      </w:r>
    </w:p>
    <w:p>
      <w:pPr>
        <w:pStyle w:val="16"/>
        <w:tabs>
          <w:tab w:val="right" w:leader="dot" w:pos="8296"/>
        </w:tabs>
        <w:rPr>
          <w:sz w:val="32"/>
          <w:szCs w:val="22"/>
        </w:rPr>
      </w:pPr>
      <w:r>
        <w:fldChar w:fldCharType="begin"/>
      </w:r>
      <w:r>
        <w:instrText xml:space="preserve">HYPERLINK  \l "_Toc499124878" </w:instrText>
      </w:r>
      <w:r>
        <w:fldChar w:fldCharType="separate"/>
      </w:r>
      <w:r>
        <w:rPr>
          <w:rStyle w:val="27"/>
          <w:rFonts w:hint="default" w:ascii="仿宋" w:hAnsi="仿宋" w:eastAsia="仿宋"/>
          <w:sz w:val="32"/>
        </w:rPr>
        <w:t>9. 环境评估</w:t>
      </w:r>
      <w:r>
        <w:rPr>
          <w:sz w:val="32"/>
        </w:rPr>
        <w:tab/>
      </w:r>
      <w:r>
        <w:rPr>
          <w:sz w:val="32"/>
        </w:rPr>
        <w:fldChar w:fldCharType="begin"/>
      </w:r>
      <w:r>
        <w:rPr>
          <w:sz w:val="32"/>
        </w:rPr>
        <w:instrText xml:space="preserve"> PAGEREF _Toc499124878 \h </w:instrText>
      </w:r>
      <w:r>
        <w:rPr>
          <w:sz w:val="32"/>
        </w:rPr>
        <w:fldChar w:fldCharType="separate"/>
      </w:r>
      <w:r>
        <w:rPr>
          <w:sz w:val="32"/>
        </w:rPr>
        <w:t>23</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"_Toc499124879" </w:instrText>
      </w:r>
      <w:r>
        <w:fldChar w:fldCharType="separate"/>
      </w:r>
      <w:r>
        <w:rPr>
          <w:rStyle w:val="27"/>
          <w:rFonts w:hint="default" w:ascii="仿宋" w:hAnsi="仿宋" w:eastAsia="仿宋"/>
          <w:sz w:val="32"/>
        </w:rPr>
        <w:t>9.1 污染源分析</w:t>
      </w:r>
      <w:r>
        <w:rPr>
          <w:sz w:val="32"/>
        </w:rPr>
        <w:tab/>
      </w:r>
      <w:r>
        <w:rPr>
          <w:sz w:val="32"/>
        </w:rPr>
        <w:fldChar w:fldCharType="begin"/>
      </w:r>
      <w:r>
        <w:rPr>
          <w:sz w:val="32"/>
        </w:rPr>
        <w:instrText xml:space="preserve"> PAGEREF _Toc499124879 \h </w:instrText>
      </w:r>
      <w:r>
        <w:rPr>
          <w:sz w:val="32"/>
        </w:rPr>
        <w:fldChar w:fldCharType="separate"/>
      </w:r>
      <w:r>
        <w:rPr>
          <w:sz w:val="32"/>
        </w:rPr>
        <w:t>23</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"_Toc499124880" </w:instrText>
      </w:r>
      <w:r>
        <w:fldChar w:fldCharType="separate"/>
      </w:r>
      <w:r>
        <w:rPr>
          <w:rStyle w:val="27"/>
          <w:rFonts w:hint="default" w:ascii="仿宋" w:hAnsi="仿宋" w:eastAsia="仿宋"/>
          <w:sz w:val="32"/>
        </w:rPr>
        <w:t>9.2 防治措施</w:t>
      </w:r>
      <w:r>
        <w:rPr>
          <w:sz w:val="32"/>
        </w:rPr>
        <w:tab/>
      </w:r>
      <w:r>
        <w:rPr>
          <w:sz w:val="32"/>
        </w:rPr>
        <w:fldChar w:fldCharType="begin"/>
      </w:r>
      <w:r>
        <w:rPr>
          <w:sz w:val="32"/>
        </w:rPr>
        <w:instrText xml:space="preserve"> PAGEREF _Toc499124880 \h </w:instrText>
      </w:r>
      <w:r>
        <w:rPr>
          <w:sz w:val="32"/>
        </w:rPr>
        <w:fldChar w:fldCharType="separate"/>
      </w:r>
      <w:r>
        <w:rPr>
          <w:sz w:val="32"/>
        </w:rPr>
        <w:t>23</w:t>
      </w:r>
      <w:r>
        <w:rPr>
          <w:sz w:val="32"/>
        </w:rPr>
        <w:fldChar w:fldCharType="end"/>
      </w:r>
      <w:r>
        <w:fldChar w:fldCharType="end"/>
      </w:r>
    </w:p>
    <w:p>
      <w:pPr>
        <w:pStyle w:val="16"/>
        <w:tabs>
          <w:tab w:val="right" w:leader="dot" w:pos="8296"/>
        </w:tabs>
        <w:rPr>
          <w:sz w:val="32"/>
          <w:szCs w:val="22"/>
        </w:rPr>
      </w:pPr>
      <w:r>
        <w:fldChar w:fldCharType="begin"/>
      </w:r>
      <w:r>
        <w:instrText xml:space="preserve">HYPERLINK  \l "_Toc499124881" </w:instrText>
      </w:r>
      <w:r>
        <w:fldChar w:fldCharType="separate"/>
      </w:r>
      <w:r>
        <w:rPr>
          <w:rStyle w:val="27"/>
          <w:rFonts w:hint="default" w:ascii="仿宋" w:hAnsi="仿宋" w:eastAsia="仿宋"/>
          <w:sz w:val="32"/>
        </w:rPr>
        <w:t>10. 风险评估</w:t>
      </w:r>
      <w:r>
        <w:rPr>
          <w:sz w:val="32"/>
        </w:rPr>
        <w:tab/>
      </w:r>
      <w:r>
        <w:rPr>
          <w:sz w:val="32"/>
        </w:rPr>
        <w:fldChar w:fldCharType="begin"/>
      </w:r>
      <w:r>
        <w:rPr>
          <w:sz w:val="32"/>
        </w:rPr>
        <w:instrText xml:space="preserve"> PAGEREF _Toc499124881 \h </w:instrText>
      </w:r>
      <w:r>
        <w:rPr>
          <w:sz w:val="32"/>
        </w:rPr>
        <w:fldChar w:fldCharType="separate"/>
      </w:r>
      <w:r>
        <w:rPr>
          <w:sz w:val="32"/>
        </w:rPr>
        <w:t>24</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"_Toc499124882" </w:instrText>
      </w:r>
      <w:r>
        <w:fldChar w:fldCharType="separate"/>
      </w:r>
      <w:r>
        <w:rPr>
          <w:rStyle w:val="27"/>
          <w:rFonts w:hint="default" w:ascii="仿宋" w:hAnsi="仿宋" w:eastAsia="仿宋"/>
          <w:sz w:val="32"/>
        </w:rPr>
        <w:t>10.1管理风险</w:t>
      </w:r>
      <w:r>
        <w:rPr>
          <w:sz w:val="32"/>
        </w:rPr>
        <w:tab/>
      </w:r>
      <w:r>
        <w:rPr>
          <w:sz w:val="32"/>
        </w:rPr>
        <w:fldChar w:fldCharType="begin"/>
      </w:r>
      <w:r>
        <w:rPr>
          <w:sz w:val="32"/>
        </w:rPr>
        <w:instrText xml:space="preserve"> PAGEREF _Toc499124882 \h </w:instrText>
      </w:r>
      <w:r>
        <w:rPr>
          <w:sz w:val="32"/>
        </w:rPr>
        <w:fldChar w:fldCharType="separate"/>
      </w:r>
      <w:r>
        <w:rPr>
          <w:sz w:val="32"/>
        </w:rPr>
        <w:t>24</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"_Toc499124883" </w:instrText>
      </w:r>
      <w:r>
        <w:fldChar w:fldCharType="separate"/>
      </w:r>
      <w:r>
        <w:rPr>
          <w:rStyle w:val="27"/>
          <w:rFonts w:hint="default" w:ascii="仿宋" w:hAnsi="仿宋" w:eastAsia="仿宋"/>
          <w:sz w:val="32"/>
        </w:rPr>
        <w:t>10.2运营风险</w:t>
      </w:r>
      <w:r>
        <w:rPr>
          <w:sz w:val="32"/>
        </w:rPr>
        <w:tab/>
      </w:r>
      <w:r>
        <w:rPr>
          <w:sz w:val="32"/>
        </w:rPr>
        <w:fldChar w:fldCharType="begin"/>
      </w:r>
      <w:r>
        <w:rPr>
          <w:sz w:val="32"/>
        </w:rPr>
        <w:instrText xml:space="preserve"> PAGEREF _Toc499124883 \h </w:instrText>
      </w:r>
      <w:r>
        <w:rPr>
          <w:sz w:val="32"/>
        </w:rPr>
        <w:fldChar w:fldCharType="separate"/>
      </w:r>
      <w:r>
        <w:rPr>
          <w:sz w:val="32"/>
        </w:rPr>
        <w:t>24</w:t>
      </w:r>
      <w:r>
        <w:rPr>
          <w:sz w:val="32"/>
        </w:rPr>
        <w:fldChar w:fldCharType="end"/>
      </w:r>
      <w:r>
        <w:fldChar w:fldCharType="end"/>
      </w:r>
    </w:p>
    <w:p>
      <w:pPr>
        <w:pStyle w:val="17"/>
        <w:tabs>
          <w:tab w:val="right" w:leader="dot" w:pos="8296"/>
        </w:tabs>
        <w:rPr>
          <w:sz w:val="32"/>
          <w:szCs w:val="22"/>
        </w:rPr>
      </w:pPr>
      <w:r>
        <w:fldChar w:fldCharType="begin"/>
      </w:r>
      <w:r>
        <w:instrText xml:space="preserve">HYPERLINK  \l "_Toc499124884" </w:instrText>
      </w:r>
      <w:r>
        <w:fldChar w:fldCharType="separate"/>
      </w:r>
      <w:r>
        <w:rPr>
          <w:rStyle w:val="27"/>
          <w:rFonts w:hint="default" w:ascii="仿宋" w:hAnsi="仿宋" w:eastAsia="仿宋"/>
          <w:sz w:val="32"/>
        </w:rPr>
        <w:t>10.3人才风险</w:t>
      </w:r>
      <w:r>
        <w:rPr>
          <w:sz w:val="32"/>
        </w:rPr>
        <w:tab/>
      </w:r>
      <w:r>
        <w:rPr>
          <w:sz w:val="32"/>
        </w:rPr>
        <w:fldChar w:fldCharType="begin"/>
      </w:r>
      <w:r>
        <w:rPr>
          <w:sz w:val="32"/>
        </w:rPr>
        <w:instrText xml:space="preserve"> PAGEREF _Toc499124884 \h </w:instrText>
      </w:r>
      <w:r>
        <w:rPr>
          <w:sz w:val="32"/>
        </w:rPr>
        <w:fldChar w:fldCharType="separate"/>
      </w:r>
      <w:r>
        <w:rPr>
          <w:sz w:val="32"/>
        </w:rPr>
        <w:t>25</w:t>
      </w:r>
      <w:r>
        <w:rPr>
          <w:sz w:val="32"/>
        </w:rPr>
        <w:fldChar w:fldCharType="end"/>
      </w:r>
      <w:r>
        <w:fldChar w:fldCharType="end"/>
      </w:r>
    </w:p>
    <w:p>
      <w:pPr>
        <w:pStyle w:val="16"/>
        <w:tabs>
          <w:tab w:val="right" w:leader="dot" w:pos="8296"/>
        </w:tabs>
        <w:rPr>
          <w:sz w:val="32"/>
          <w:szCs w:val="22"/>
        </w:rPr>
      </w:pPr>
      <w:r>
        <w:fldChar w:fldCharType="begin"/>
      </w:r>
      <w:r>
        <w:instrText xml:space="preserve">HYPERLINK  \l "_Toc499124885" </w:instrText>
      </w:r>
      <w:r>
        <w:fldChar w:fldCharType="separate"/>
      </w:r>
      <w:r>
        <w:rPr>
          <w:rStyle w:val="27"/>
          <w:rFonts w:hint="default" w:ascii="仿宋" w:hAnsi="仿宋" w:eastAsia="仿宋"/>
          <w:sz w:val="32"/>
        </w:rPr>
        <w:t>11. 结论</w:t>
      </w:r>
      <w:r>
        <w:rPr>
          <w:sz w:val="32"/>
        </w:rPr>
        <w:tab/>
      </w:r>
      <w:r>
        <w:rPr>
          <w:sz w:val="32"/>
        </w:rPr>
        <w:fldChar w:fldCharType="begin"/>
      </w:r>
      <w:r>
        <w:rPr>
          <w:sz w:val="32"/>
        </w:rPr>
        <w:instrText xml:space="preserve"> PAGEREF _Toc499124885 \h </w:instrText>
      </w:r>
      <w:r>
        <w:rPr>
          <w:sz w:val="32"/>
        </w:rPr>
        <w:fldChar w:fldCharType="separate"/>
      </w:r>
      <w:r>
        <w:rPr>
          <w:sz w:val="32"/>
        </w:rPr>
        <w:t>25</w:t>
      </w:r>
      <w:r>
        <w:rPr>
          <w:sz w:val="32"/>
        </w:rPr>
        <w:fldChar w:fldCharType="end"/>
      </w:r>
      <w:r>
        <w:fldChar w:fldCharType="end"/>
      </w:r>
    </w:p>
    <w:p>
      <w:pPr>
        <w:pStyle w:val="16"/>
        <w:tabs>
          <w:tab w:val="right" w:leader="dot" w:pos="8296"/>
        </w:tabs>
        <w:rPr>
          <w:sz w:val="32"/>
          <w:szCs w:val="22"/>
        </w:rPr>
      </w:pPr>
      <w:r>
        <w:fldChar w:fldCharType="begin"/>
      </w:r>
      <w:r>
        <w:instrText xml:space="preserve">HYPERLINK  \l "_Toc499124886" </w:instrText>
      </w:r>
      <w:r>
        <w:fldChar w:fldCharType="separate"/>
      </w:r>
      <w:r>
        <w:rPr>
          <w:rStyle w:val="27"/>
          <w:rFonts w:hint="default" w:ascii="仿宋" w:hAnsi="仿宋" w:eastAsia="仿宋"/>
          <w:sz w:val="32"/>
        </w:rPr>
        <w:t>12. 附表</w:t>
      </w:r>
      <w:r>
        <w:rPr>
          <w:sz w:val="32"/>
        </w:rPr>
        <w:tab/>
      </w:r>
      <w:r>
        <w:rPr>
          <w:sz w:val="32"/>
        </w:rPr>
        <w:fldChar w:fldCharType="begin"/>
      </w:r>
      <w:r>
        <w:rPr>
          <w:sz w:val="32"/>
        </w:rPr>
        <w:instrText xml:space="preserve"> PAGEREF _Toc499124886 \h </w:instrText>
      </w:r>
      <w:r>
        <w:rPr>
          <w:sz w:val="32"/>
        </w:rPr>
        <w:fldChar w:fldCharType="separate"/>
      </w:r>
      <w:r>
        <w:rPr>
          <w:sz w:val="32"/>
        </w:rPr>
        <w:t>25</w:t>
      </w:r>
      <w:r>
        <w:rPr>
          <w:sz w:val="32"/>
        </w:rPr>
        <w:fldChar w:fldCharType="end"/>
      </w:r>
      <w:r>
        <w:fldChar w:fldCharType="end"/>
      </w:r>
    </w:p>
    <w:p>
      <w:pPr>
        <w:pStyle w:val="16"/>
        <w:tabs>
          <w:tab w:val="right" w:leader="dot" w:pos="8306"/>
        </w:tabs>
        <w:spacing w:line="600" w:lineRule="exact"/>
        <w:jc w:val="left"/>
        <w:rPr>
          <w:rFonts w:ascii="仿宋" w:hAnsi="仿宋" w:eastAsia="仿宋" w:cs="宋体"/>
          <w:b/>
          <w:bCs/>
          <w:color w:val="000000"/>
          <w:sz w:val="44"/>
          <w:szCs w:val="44"/>
        </w:rPr>
        <w:sectPr>
          <w:pgSz w:w="11906" w:h="16838"/>
          <w:pgMar w:top="1440" w:right="1800" w:bottom="1440" w:left="1800" w:header="851" w:footer="992" w:gutter="0"/>
          <w:pgNumType w:start="1"/>
          <w:cols w:space="720" w:num="1"/>
          <w:docGrid w:type="lines" w:linePitch="312" w:charSpace="0"/>
        </w:sectPr>
      </w:pPr>
      <w:r>
        <w:rPr>
          <w:rFonts w:hint="eastAsia" w:ascii="仿宋" w:hAnsi="仿宋" w:eastAsia="仿宋" w:cs="黑体"/>
          <w:bCs/>
          <w:color w:val="000000"/>
          <w:sz w:val="32"/>
          <w:szCs w:val="32"/>
        </w:rPr>
        <w:fldChar w:fldCharType="end"/>
      </w:r>
    </w:p>
    <w:p>
      <w:pPr>
        <w:jc w:val="center"/>
        <w:rPr>
          <w:rFonts w:ascii="仿宋" w:hAnsi="仿宋" w:eastAsia="仿宋" w:cs="宋体"/>
          <w:b/>
          <w:bCs/>
          <w:color w:val="000000"/>
          <w:sz w:val="44"/>
          <w:szCs w:val="44"/>
        </w:rPr>
      </w:pPr>
      <w:r>
        <w:rPr>
          <w:rFonts w:hint="eastAsia" w:ascii="仿宋" w:hAnsi="仿宋" w:eastAsia="仿宋" w:cs="宋体"/>
          <w:b/>
          <w:bCs/>
          <w:color w:val="000000"/>
          <w:sz w:val="44"/>
          <w:szCs w:val="44"/>
        </w:rPr>
        <w:t>温泉镇赶子村田园综合体建设项目</w:t>
      </w:r>
    </w:p>
    <w:p>
      <w:pPr>
        <w:pStyle w:val="2"/>
        <w:numPr>
          <w:ilvl w:val="0"/>
          <w:numId w:val="1"/>
        </w:numPr>
        <w:rPr>
          <w:rFonts w:ascii="仿宋" w:hAnsi="仿宋" w:eastAsia="仿宋"/>
        </w:rPr>
      </w:pPr>
      <w:bookmarkStart w:id="0" w:name="_Toc499124839"/>
      <w:r>
        <w:rPr>
          <w:rFonts w:hint="eastAsia" w:ascii="仿宋" w:hAnsi="仿宋" w:eastAsia="仿宋"/>
        </w:rPr>
        <w:t>项目简介</w:t>
      </w:r>
      <w:bookmarkEnd w:id="0"/>
    </w:p>
    <w:p>
      <w:pPr>
        <w:pStyle w:val="3"/>
        <w:rPr>
          <w:rFonts w:ascii="仿宋" w:hAnsi="仿宋" w:eastAsia="仿宋"/>
        </w:rPr>
      </w:pPr>
      <w:bookmarkStart w:id="1" w:name="_Toc499124840"/>
      <w:r>
        <w:rPr>
          <w:rFonts w:hint="eastAsia" w:ascii="仿宋" w:hAnsi="仿宋" w:eastAsia="仿宋"/>
        </w:rPr>
        <w:t>1.1项目名称</w:t>
      </w:r>
      <w:bookmarkEnd w:id="1"/>
    </w:p>
    <w:p>
      <w:pPr>
        <w:ind w:firstLine="640" w:firstLineChars="200"/>
        <w:rPr>
          <w:rFonts w:ascii="仿宋" w:hAnsi="仿宋" w:eastAsia="仿宋"/>
          <w:sz w:val="32"/>
          <w:szCs w:val="32"/>
        </w:rPr>
      </w:pPr>
      <w:r>
        <w:rPr>
          <w:rFonts w:hint="eastAsia" w:ascii="仿宋" w:hAnsi="仿宋" w:eastAsia="仿宋"/>
          <w:sz w:val="32"/>
          <w:szCs w:val="32"/>
        </w:rPr>
        <w:t>温泉镇赶子村田园综合体建设项目。</w:t>
      </w:r>
    </w:p>
    <w:p>
      <w:pPr>
        <w:pStyle w:val="3"/>
        <w:rPr>
          <w:rFonts w:ascii="仿宋" w:hAnsi="仿宋" w:eastAsia="仿宋"/>
        </w:rPr>
      </w:pPr>
      <w:bookmarkStart w:id="2" w:name="_Toc499124841"/>
      <w:r>
        <w:rPr>
          <w:rFonts w:hint="eastAsia" w:ascii="仿宋" w:hAnsi="仿宋" w:eastAsia="仿宋"/>
        </w:rPr>
        <w:t>1.2行业类别</w:t>
      </w:r>
      <w:bookmarkEnd w:id="2"/>
    </w:p>
    <w:p>
      <w:pPr>
        <w:ind w:firstLine="640" w:firstLineChars="200"/>
        <w:rPr>
          <w:rFonts w:ascii="仿宋" w:hAnsi="仿宋" w:eastAsia="仿宋"/>
          <w:sz w:val="32"/>
          <w:szCs w:val="32"/>
        </w:rPr>
      </w:pPr>
      <w:r>
        <w:rPr>
          <w:rFonts w:hint="eastAsia" w:ascii="仿宋" w:hAnsi="仿宋" w:eastAsia="仿宋"/>
          <w:sz w:val="32"/>
          <w:szCs w:val="32"/>
        </w:rPr>
        <w:t>现代旅游业。</w:t>
      </w:r>
    </w:p>
    <w:p>
      <w:pPr>
        <w:pStyle w:val="3"/>
        <w:rPr>
          <w:rFonts w:ascii="仿宋" w:hAnsi="仿宋" w:eastAsia="仿宋"/>
        </w:rPr>
      </w:pPr>
      <w:bookmarkStart w:id="3" w:name="_Toc499124842"/>
      <w:r>
        <w:rPr>
          <w:rFonts w:hint="eastAsia" w:ascii="仿宋" w:hAnsi="仿宋" w:eastAsia="仿宋"/>
        </w:rPr>
        <w:t>1.3建设性质</w:t>
      </w:r>
      <w:bookmarkEnd w:id="3"/>
    </w:p>
    <w:p>
      <w:pPr>
        <w:ind w:firstLine="640" w:firstLineChars="200"/>
        <w:rPr>
          <w:rFonts w:ascii="仿宋" w:hAnsi="仿宋" w:eastAsia="仿宋"/>
          <w:sz w:val="32"/>
          <w:szCs w:val="32"/>
        </w:rPr>
      </w:pPr>
      <w:r>
        <w:rPr>
          <w:rFonts w:hint="eastAsia" w:ascii="仿宋" w:hAnsi="仿宋" w:eastAsia="仿宋"/>
          <w:sz w:val="32"/>
          <w:szCs w:val="32"/>
        </w:rPr>
        <w:t>新 建。</w:t>
      </w:r>
    </w:p>
    <w:p>
      <w:pPr>
        <w:pStyle w:val="3"/>
        <w:rPr>
          <w:rFonts w:ascii="仿宋" w:hAnsi="仿宋" w:eastAsia="仿宋"/>
        </w:rPr>
      </w:pPr>
      <w:bookmarkStart w:id="4" w:name="_Toc499124843"/>
      <w:r>
        <w:rPr>
          <w:rFonts w:hint="eastAsia" w:ascii="仿宋" w:hAnsi="仿宋" w:eastAsia="仿宋"/>
        </w:rPr>
        <w:t>1.4项目选址</w:t>
      </w:r>
      <w:bookmarkEnd w:id="4"/>
    </w:p>
    <w:p>
      <w:pPr>
        <w:ind w:firstLine="640" w:firstLineChars="200"/>
        <w:rPr>
          <w:rFonts w:ascii="仿宋" w:hAnsi="仿宋" w:eastAsia="仿宋"/>
          <w:sz w:val="32"/>
          <w:szCs w:val="32"/>
        </w:rPr>
      </w:pPr>
      <w:r>
        <w:rPr>
          <w:rFonts w:hint="eastAsia" w:ascii="仿宋" w:hAnsi="仿宋" w:eastAsia="仿宋"/>
          <w:sz w:val="32"/>
          <w:szCs w:val="32"/>
        </w:rPr>
        <w:t>息烽县温泉镇赶子村。</w:t>
      </w:r>
    </w:p>
    <w:p>
      <w:pPr>
        <w:pStyle w:val="3"/>
        <w:rPr>
          <w:rFonts w:ascii="仿宋" w:hAnsi="仿宋" w:eastAsia="仿宋"/>
        </w:rPr>
      </w:pPr>
      <w:bookmarkStart w:id="5" w:name="_Toc499124844"/>
      <w:r>
        <w:rPr>
          <w:rFonts w:hint="eastAsia" w:ascii="仿宋" w:hAnsi="仿宋" w:eastAsia="仿宋"/>
        </w:rPr>
        <w:t>1.5合作方式</w:t>
      </w:r>
      <w:bookmarkEnd w:id="5"/>
    </w:p>
    <w:p>
      <w:pPr>
        <w:ind w:firstLine="640" w:firstLineChars="200"/>
        <w:rPr>
          <w:rFonts w:ascii="仿宋" w:hAnsi="仿宋" w:eastAsia="仿宋"/>
          <w:sz w:val="32"/>
          <w:szCs w:val="32"/>
        </w:rPr>
      </w:pPr>
      <w:r>
        <w:rPr>
          <w:rFonts w:hint="eastAsia" w:ascii="仿宋" w:hAnsi="仿宋" w:eastAsia="仿宋"/>
          <w:sz w:val="32"/>
          <w:szCs w:val="32"/>
        </w:rPr>
        <w:t>独资、合资。</w:t>
      </w:r>
    </w:p>
    <w:p>
      <w:pPr>
        <w:pStyle w:val="3"/>
        <w:rPr>
          <w:rFonts w:ascii="仿宋" w:hAnsi="仿宋" w:eastAsia="仿宋"/>
        </w:rPr>
      </w:pPr>
      <w:bookmarkStart w:id="6" w:name="_Toc499124845"/>
      <w:r>
        <w:rPr>
          <w:rFonts w:hint="eastAsia" w:ascii="仿宋" w:hAnsi="仿宋" w:eastAsia="仿宋"/>
        </w:rPr>
        <w:t>1.6项目概述</w:t>
      </w:r>
      <w:bookmarkEnd w:id="6"/>
    </w:p>
    <w:p>
      <w:pPr>
        <w:ind w:firstLine="640" w:firstLineChars="200"/>
        <w:rPr>
          <w:rFonts w:ascii="仿宋" w:hAnsi="仿宋" w:eastAsia="仿宋"/>
          <w:sz w:val="32"/>
          <w:szCs w:val="32"/>
        </w:rPr>
      </w:pPr>
      <w:r>
        <w:rPr>
          <w:rFonts w:hint="eastAsia" w:ascii="仿宋" w:hAnsi="仿宋" w:eastAsia="仿宋"/>
          <w:sz w:val="32"/>
          <w:szCs w:val="32"/>
        </w:rPr>
        <w:t>本项目位于息烽县温泉镇赶子村，充分</w:t>
      </w:r>
      <w:r>
        <w:rPr>
          <w:rFonts w:hint="eastAsia" w:ascii="仿宋" w:hAnsi="仿宋" w:eastAsia="仿宋"/>
          <w:sz w:val="30"/>
          <w:szCs w:val="30"/>
        </w:rPr>
        <w:t>依托赶子村现有的自然、人文、历史等资源，围绕生态农业、精品农业、观光农业，打造集宗教历史文化、禅院别墅、乡村客栈、农家乐、田园旅游等为一体的田园综合体。充分利用邻近温泉镇的优势，重点</w:t>
      </w:r>
      <w:r>
        <w:rPr>
          <w:rFonts w:hint="eastAsia" w:ascii="仿宋" w:hAnsi="仿宋" w:eastAsia="仿宋"/>
          <w:sz w:val="32"/>
          <w:szCs w:val="32"/>
        </w:rPr>
        <w:t>围绕温泉旅游的延伸、补充和服务配套业态，发掘当地的历史、人文、宗教、自然等，开发精品农业、特色养生、禅院别墅等旅游项目，带动村寨经济发展，提升村民生活质量，形成美丽乡村的示范效应。</w:t>
      </w:r>
    </w:p>
    <w:p>
      <w:pPr>
        <w:pStyle w:val="3"/>
        <w:rPr>
          <w:rFonts w:ascii="仿宋" w:hAnsi="仿宋" w:eastAsia="仿宋"/>
        </w:rPr>
      </w:pPr>
      <w:bookmarkStart w:id="7" w:name="_Toc499124846"/>
      <w:r>
        <w:rPr>
          <w:rFonts w:hint="eastAsia" w:ascii="仿宋" w:hAnsi="仿宋" w:eastAsia="仿宋"/>
        </w:rPr>
        <w:t>1.7投资金额及资金筹措</w:t>
      </w:r>
      <w:bookmarkEnd w:id="7"/>
    </w:p>
    <w:p>
      <w:pPr>
        <w:ind w:firstLine="640" w:firstLineChars="200"/>
        <w:rPr>
          <w:rFonts w:ascii="仿宋" w:hAnsi="仿宋" w:eastAsia="仿宋" w:cs="宋体"/>
          <w:sz w:val="32"/>
          <w:szCs w:val="32"/>
        </w:rPr>
      </w:pPr>
      <w:r>
        <w:rPr>
          <w:rFonts w:hint="eastAsia" w:ascii="仿宋" w:hAnsi="仿宋" w:eastAsia="仿宋" w:cs="宋体"/>
          <w:sz w:val="32"/>
          <w:szCs w:val="32"/>
        </w:rPr>
        <w:t>本项目总投资</w:t>
      </w:r>
      <w:r>
        <w:rPr>
          <w:rFonts w:ascii="仿宋" w:hAnsi="仿宋" w:eastAsia="仿宋" w:cs="宋体"/>
          <w:sz w:val="32"/>
          <w:szCs w:val="32"/>
        </w:rPr>
        <w:t>24293.83</w:t>
      </w:r>
      <w:r>
        <w:rPr>
          <w:rFonts w:hint="eastAsia" w:ascii="仿宋" w:hAnsi="仿宋" w:eastAsia="仿宋" w:cs="宋体"/>
          <w:sz w:val="32"/>
          <w:szCs w:val="32"/>
        </w:rPr>
        <w:t>万元人民币，项目资金全部由投资企业自筹。</w:t>
      </w:r>
    </w:p>
    <w:p>
      <w:pPr>
        <w:pStyle w:val="2"/>
        <w:numPr>
          <w:ilvl w:val="0"/>
          <w:numId w:val="1"/>
        </w:numPr>
        <w:rPr>
          <w:rFonts w:ascii="仿宋" w:hAnsi="仿宋" w:eastAsia="仿宋"/>
          <w:szCs w:val="22"/>
        </w:rPr>
      </w:pPr>
      <w:bookmarkStart w:id="8" w:name="_Toc499124847"/>
      <w:r>
        <w:rPr>
          <w:rFonts w:hint="eastAsia" w:ascii="仿宋" w:hAnsi="仿宋" w:eastAsia="仿宋"/>
          <w:szCs w:val="22"/>
        </w:rPr>
        <w:t>市场分析</w:t>
      </w:r>
      <w:bookmarkEnd w:id="8"/>
    </w:p>
    <w:p>
      <w:pPr>
        <w:ind w:firstLine="640" w:firstLineChars="200"/>
        <w:jc w:val="left"/>
        <w:rPr>
          <w:rFonts w:ascii="仿宋" w:hAnsi="仿宋" w:eastAsia="仿宋" w:cs="宋体"/>
          <w:sz w:val="32"/>
          <w:szCs w:val="32"/>
        </w:rPr>
      </w:pPr>
      <w:r>
        <w:rPr>
          <w:rFonts w:hint="eastAsia" w:ascii="仿宋" w:hAnsi="仿宋" w:eastAsia="仿宋" w:cs="宋体"/>
          <w:sz w:val="32"/>
          <w:szCs w:val="32"/>
        </w:rPr>
        <w:t>田园综合体是集现代农业、休闲旅游、田园社区为一体的特色小镇和乡村综合发展模式，是在城乡一体格局下，顺应农村</w:t>
      </w:r>
      <w:r>
        <w:rPr>
          <w:rFonts w:hint="eastAsia" w:ascii="仿宋" w:hAnsi="仿宋" w:eastAsia="仿宋" w:cs="宋体"/>
          <w:sz w:val="32"/>
          <w:szCs w:val="32"/>
          <w:lang w:eastAsia="zh-CN"/>
        </w:rPr>
        <w:t>供给侧结构性改革</w:t>
      </w:r>
      <w:r>
        <w:rPr>
          <w:rFonts w:hint="eastAsia" w:ascii="仿宋" w:hAnsi="仿宋" w:eastAsia="仿宋" w:cs="宋体"/>
          <w:sz w:val="32"/>
          <w:szCs w:val="32"/>
        </w:rPr>
        <w:t>、新型产业发展,结合农村产权制度改革，实现中国乡村现代化、新型城镇化、社会经济全面发展的一种可持续性模式。</w:t>
      </w:r>
    </w:p>
    <w:p>
      <w:pPr>
        <w:ind w:firstLine="640" w:firstLineChars="200"/>
        <w:jc w:val="left"/>
        <w:rPr>
          <w:rFonts w:ascii="仿宋" w:hAnsi="仿宋" w:eastAsia="仿宋" w:cs="宋体"/>
          <w:sz w:val="32"/>
          <w:szCs w:val="32"/>
        </w:rPr>
      </w:pPr>
      <w:r>
        <w:rPr>
          <w:rFonts w:hint="eastAsia" w:ascii="仿宋" w:hAnsi="仿宋" w:eastAsia="仿宋" w:cs="宋体"/>
          <w:sz w:val="32"/>
          <w:szCs w:val="32"/>
        </w:rPr>
        <w:t>2017年2月5日，“田园综合体”作为乡村新型产业发展的亮点措施被写进中央一号文件：“支持有条件的乡村建设以农民合作社为主要载体、让农民充分参与和受益，集循环农业、创意农业、农事体验于一体的田园综合体，通过农业综合开发、农村综合改革转移支付等渠道开展试点示范。”</w:t>
      </w:r>
    </w:p>
    <w:p>
      <w:pPr>
        <w:ind w:firstLine="640" w:firstLineChars="200"/>
        <w:jc w:val="left"/>
        <w:rPr>
          <w:rFonts w:ascii="仿宋" w:hAnsi="仿宋" w:eastAsia="仿宋" w:cs="宋体"/>
          <w:sz w:val="32"/>
          <w:szCs w:val="32"/>
        </w:rPr>
      </w:pPr>
      <w:r>
        <w:rPr>
          <w:rFonts w:hint="eastAsia" w:ascii="仿宋" w:hAnsi="仿宋" w:eastAsia="仿宋" w:cs="宋体"/>
          <w:sz w:val="32"/>
          <w:szCs w:val="32"/>
        </w:rPr>
        <w:t>2017年5月24日，财政部印发了《关于开展田园综合体建设试点工作的通知》（财办〔2017〕29号）。</w:t>
      </w:r>
    </w:p>
    <w:p>
      <w:pPr>
        <w:ind w:firstLine="640" w:firstLineChars="200"/>
        <w:jc w:val="left"/>
        <w:rPr>
          <w:rFonts w:ascii="仿宋" w:hAnsi="仿宋" w:eastAsia="仿宋" w:cs="宋体"/>
          <w:sz w:val="32"/>
          <w:szCs w:val="32"/>
        </w:rPr>
      </w:pPr>
      <w:r>
        <w:rPr>
          <w:rFonts w:hint="eastAsia" w:ascii="仿宋" w:hAnsi="仿宋" w:eastAsia="仿宋" w:cs="宋体"/>
          <w:sz w:val="32"/>
          <w:szCs w:val="32"/>
        </w:rPr>
        <w:t>2017年6月5日，财政部又印发了《开展农村综合性改革试点试验实施方案》（财农〔2017〕53号），并发布了开展田园综合体建设试点的通知，决定从2017年起在有关省份开展农村综合性改革试点试验、田园综合体试点。</w:t>
      </w:r>
    </w:p>
    <w:p>
      <w:pPr>
        <w:ind w:firstLine="640" w:firstLineChars="200"/>
        <w:rPr>
          <w:rFonts w:ascii="仿宋" w:hAnsi="仿宋" w:eastAsia="仿宋" w:cs="宋体"/>
          <w:sz w:val="32"/>
          <w:szCs w:val="32"/>
        </w:rPr>
      </w:pPr>
      <w:r>
        <w:rPr>
          <w:rFonts w:hint="eastAsia" w:ascii="仿宋" w:hAnsi="仿宋" w:eastAsia="仿宋" w:cs="宋体"/>
          <w:sz w:val="32"/>
          <w:szCs w:val="32"/>
        </w:rPr>
        <w:t>作为乡村旅游发展的新模式，田园综合体可以构建城乡共享发展。田园综合体以田园生产、田园生活、田园景观为核心要素，是现代农业、休闲文旅、田园社区多产业多功能的有机结合体。作为乡村旅游的新型业态，能够成为城乡发展的粘合剂，实现城乡在多个领域的对接，构建城乡内生性、可持续的联动发展。</w:t>
      </w:r>
    </w:p>
    <w:p>
      <w:pPr>
        <w:ind w:firstLine="640" w:firstLineChars="200"/>
        <w:rPr>
          <w:rFonts w:ascii="仿宋" w:hAnsi="仿宋" w:eastAsia="仿宋" w:cs="宋体"/>
          <w:sz w:val="32"/>
          <w:szCs w:val="32"/>
        </w:rPr>
      </w:pPr>
      <w:r>
        <w:rPr>
          <w:rFonts w:hint="eastAsia" w:ascii="仿宋" w:hAnsi="仿宋" w:eastAsia="仿宋" w:cs="宋体"/>
          <w:sz w:val="32"/>
          <w:szCs w:val="32"/>
        </w:rPr>
        <w:t>可以实现农业产业融合发展。田园综合体是以产业融合为突破点，在农业产业的基础上通过“+”的形式打造综合性产业综合园区，实现一二三产业的如何发展。田园综合体模式还可以解决发展旅游和生态保护的问题，能够在开发前期就对乡村基础设施的承载力进行评估、率先改进，实现城乡基础设施的对接体。</w:t>
      </w:r>
    </w:p>
    <w:p>
      <w:pPr>
        <w:ind w:firstLine="640" w:firstLineChars="200"/>
        <w:rPr>
          <w:rFonts w:ascii="仿宋" w:hAnsi="仿宋" w:eastAsia="仿宋" w:cs="宋体"/>
          <w:sz w:val="32"/>
          <w:szCs w:val="32"/>
        </w:rPr>
      </w:pPr>
      <w:r>
        <w:rPr>
          <w:rFonts w:hint="eastAsia" w:ascii="仿宋" w:hAnsi="仿宋" w:eastAsia="仿宋" w:cs="宋体"/>
          <w:sz w:val="32"/>
          <w:szCs w:val="32"/>
        </w:rPr>
        <w:t>可以实现城乡休闲生活的嫁接体。除了基础设施，在这个“走心的时代”，城市人对田园休闲的需求不断升级，已经不仅仅满足于一个可供休憩的乡村外壳，精致、有情怀、经过魅力改造的时尚乡村才是他们的口味。田园综合体能在利用乡村本身肌理的基础上，植入城市人喜爱的休闲功能，营造一个传统乡村和时尚都市魅力相融合的强磁极。</w:t>
      </w:r>
    </w:p>
    <w:p>
      <w:pPr>
        <w:ind w:firstLine="640" w:firstLineChars="200"/>
        <w:rPr>
          <w:rFonts w:ascii="仿宋" w:hAnsi="仿宋" w:eastAsia="仿宋" w:cs="宋体"/>
          <w:sz w:val="32"/>
          <w:szCs w:val="32"/>
        </w:rPr>
      </w:pPr>
      <w:r>
        <w:rPr>
          <w:rFonts w:hint="eastAsia" w:ascii="仿宋" w:hAnsi="仿宋" w:eastAsia="仿宋" w:cs="宋体"/>
          <w:sz w:val="32"/>
          <w:szCs w:val="32"/>
        </w:rPr>
        <w:t>可以实现城乡人群的融合。城乡共享发展需要建立有效的沟通机制，乡村旅游无疑应该是人流、信息流、资金流交换的重要渠道，但当前城市流对乡村的辐射途径、转化方式，都有待改进。田园综合体通过对乡村人的普遍影响，包括对村民生活方式的改变以及对本地精英的扶助，能够推进城乡人群的深度融合。</w:t>
      </w:r>
    </w:p>
    <w:p>
      <w:pPr>
        <w:ind w:firstLine="640" w:firstLineChars="200"/>
        <w:jc w:val="left"/>
        <w:rPr>
          <w:rFonts w:ascii="仿宋" w:hAnsi="仿宋" w:eastAsia="仿宋" w:cs="宋体"/>
          <w:sz w:val="32"/>
          <w:szCs w:val="32"/>
        </w:rPr>
      </w:pPr>
      <w:r>
        <w:rPr>
          <w:rFonts w:hint="eastAsia" w:ascii="仿宋" w:hAnsi="仿宋" w:eastAsia="仿宋" w:cs="宋体"/>
          <w:sz w:val="32"/>
          <w:szCs w:val="32"/>
        </w:rPr>
        <w:t>2015年，贵州省乡村旅游接待人数达1.5亿多人次，旅游收入705.9亿元，年均增长31.7%。2016年，贵州开展乡村旅游的村寨已超过1600个，年收入超过550亿元，带动社会就业230多万人。</w:t>
      </w:r>
    </w:p>
    <w:p>
      <w:pPr>
        <w:ind w:firstLine="640" w:firstLineChars="200"/>
        <w:jc w:val="left"/>
        <w:rPr>
          <w:rFonts w:ascii="仿宋" w:hAnsi="仿宋" w:eastAsia="仿宋" w:cs="宋体"/>
          <w:sz w:val="32"/>
          <w:szCs w:val="32"/>
        </w:rPr>
      </w:pPr>
      <w:r>
        <w:rPr>
          <w:rFonts w:hint="eastAsia" w:ascii="仿宋" w:hAnsi="仿宋" w:eastAsia="仿宋" w:cs="宋体"/>
          <w:sz w:val="32"/>
          <w:szCs w:val="32"/>
        </w:rPr>
        <w:t>因此，在乡村旅游、休闲旅游、全域旅游大力发展的今天，田园综合体将大有可为。</w:t>
      </w:r>
    </w:p>
    <w:p>
      <w:pPr>
        <w:pStyle w:val="2"/>
        <w:numPr>
          <w:ilvl w:val="0"/>
          <w:numId w:val="1"/>
        </w:numPr>
        <w:rPr>
          <w:rFonts w:ascii="仿宋" w:hAnsi="仿宋" w:eastAsia="仿宋"/>
        </w:rPr>
      </w:pPr>
      <w:bookmarkStart w:id="9" w:name="_Toc499124848"/>
      <w:r>
        <w:rPr>
          <w:rFonts w:hint="eastAsia" w:ascii="仿宋" w:hAnsi="仿宋" w:eastAsia="仿宋"/>
        </w:rPr>
        <w:t>项目建设内容</w:t>
      </w:r>
      <w:bookmarkEnd w:id="9"/>
    </w:p>
    <w:p>
      <w:pPr>
        <w:pStyle w:val="3"/>
        <w:rPr>
          <w:rFonts w:ascii="仿宋" w:hAnsi="仿宋" w:eastAsia="仿宋"/>
        </w:rPr>
      </w:pPr>
      <w:bookmarkStart w:id="10" w:name="_Toc499124849"/>
      <w:r>
        <w:rPr>
          <w:rFonts w:hint="eastAsia" w:ascii="仿宋" w:hAnsi="仿宋" w:eastAsia="仿宋"/>
        </w:rPr>
        <w:t>3.1总体规划</w:t>
      </w:r>
      <w:bookmarkEnd w:id="10"/>
    </w:p>
    <w:p>
      <w:pPr>
        <w:ind w:firstLine="640" w:firstLineChars="200"/>
        <w:jc w:val="left"/>
        <w:rPr>
          <w:rFonts w:ascii="仿宋" w:hAnsi="仿宋" w:eastAsia="仿宋" w:cs="宋体"/>
          <w:sz w:val="32"/>
          <w:szCs w:val="32"/>
        </w:rPr>
      </w:pPr>
      <w:r>
        <w:rPr>
          <w:rFonts w:hint="eastAsia" w:ascii="仿宋" w:hAnsi="仿宋" w:eastAsia="仿宋" w:cs="宋体"/>
          <w:sz w:val="32"/>
          <w:szCs w:val="32"/>
        </w:rPr>
        <w:t>本项目规划面积约3.2平方公里，从赶子坡入口至石牛山出口范围。共有234户，1245人 ，包括上寨、下寨、田坝、坝上、矿石槽、枫香沟、塆子7个组和高花、灯笼坝、高山冲、漆树湾、柏香林5个组部分地块。</w:t>
      </w:r>
    </w:p>
    <w:p>
      <w:pPr>
        <w:ind w:firstLine="640" w:firstLineChars="200"/>
        <w:jc w:val="left"/>
        <w:rPr>
          <w:rFonts w:ascii="仿宋" w:hAnsi="仿宋" w:eastAsia="仿宋" w:cs="宋体"/>
          <w:sz w:val="32"/>
          <w:szCs w:val="32"/>
        </w:rPr>
      </w:pPr>
    </w:p>
    <w:p>
      <w:pPr>
        <w:ind w:firstLine="420" w:firstLineChars="200"/>
        <w:jc w:val="left"/>
        <w:rPr>
          <w:rFonts w:ascii="仿宋" w:hAnsi="仿宋" w:eastAsia="仿宋" w:cs="宋体"/>
          <w:sz w:val="32"/>
          <w:szCs w:val="32"/>
        </w:rPr>
      </w:pPr>
      <w:r>
        <w:rPr>
          <w:rFonts w:ascii="仿宋" w:hAnsi="仿宋" w:eastAsia="仿宋" w:cs="黑体"/>
          <w:kern w:val="2"/>
          <w:sz w:val="21"/>
          <w:szCs w:val="24"/>
          <w:lang w:val="en-US" w:eastAsia="zh-CN" w:bidi="ar-SA"/>
        </w:rPr>
        <w:pict>
          <v:shape id="图片 1" o:spid="_x0000_s1027" o:spt="75" type="#_x0000_t75" style="position:absolute;left:0pt;margin-left:41.2pt;margin-top:9.9pt;height:374.25pt;width:338.85pt;mso-wrap-distance-bottom:0pt;mso-wrap-distance-top:0pt;z-index:251660288;mso-width-relative:page;mso-height-relative:page;" fillcolor="#FFFFFF" filled="f" o:preferrelative="t" stroked="f" coordsize="21600,21600">
            <v:path/>
            <v:fill on="f" color2="#FFFFFF" focussize="0,0"/>
            <v:stroke on="f"/>
            <v:imagedata r:id="rId5" cropleft="5616f" croptop="9751f" cropright="31039f" cropbottom="10674f" gain="65536f" blacklevel="0f" gamma="0" o:title=""/>
            <o:lock v:ext="edit" position="f" selection="f" grouping="f" rotation="f" cropping="f" text="f" aspectratio="t"/>
            <w10:wrap type="topAndBottom"/>
          </v:shape>
        </w:pict>
      </w:r>
    </w:p>
    <w:p>
      <w:pPr>
        <w:pStyle w:val="3"/>
        <w:rPr>
          <w:rFonts w:ascii="仿宋" w:hAnsi="仿宋" w:eastAsia="仿宋"/>
        </w:rPr>
      </w:pPr>
      <w:bookmarkStart w:id="11" w:name="_Toc499124850"/>
      <w:r>
        <w:rPr>
          <w:rFonts w:hint="eastAsia" w:ascii="仿宋" w:hAnsi="仿宋" w:eastAsia="仿宋"/>
        </w:rPr>
        <w:t>3.2发展目标</w:t>
      </w:r>
      <w:bookmarkEnd w:id="11"/>
    </w:p>
    <w:p>
      <w:pPr>
        <w:ind w:firstLine="640" w:firstLineChars="200"/>
        <w:rPr>
          <w:rFonts w:ascii="仿宋" w:hAnsi="仿宋" w:eastAsia="仿宋" w:cs="宋体"/>
          <w:sz w:val="32"/>
          <w:szCs w:val="32"/>
        </w:rPr>
      </w:pPr>
      <w:r>
        <w:rPr>
          <w:rFonts w:hint="eastAsia" w:ascii="仿宋" w:hAnsi="仿宋" w:eastAsia="仿宋" w:cs="宋体"/>
          <w:sz w:val="32"/>
          <w:szCs w:val="32"/>
        </w:rPr>
        <w:t xml:space="preserve">结合赶子村的自然资源、产业特色，以“农村建设新型化、人居环境优美化、公共服务社会化、乡风民俗文明化、产业发展链条化”为目标，着力打造良好的居住、生产环境，力求把赶子村建设改造成为布局合理、配套完善、环境优美、生态良好、产业发展。引导赶子村“农家乐”模式产业发展，通过发展农家乐旅游、生态旅游产业，延伸生态种植、生态养殖等产业链，拓展生态养生、生态休闲、生态艺术、生态创作等产业，从而推进全村的旅游开发和旅游产品的提升。  </w:t>
      </w:r>
    </w:p>
    <w:p>
      <w:pPr>
        <w:pStyle w:val="3"/>
        <w:rPr>
          <w:rFonts w:ascii="仿宋" w:hAnsi="仿宋" w:eastAsia="仿宋"/>
        </w:rPr>
      </w:pPr>
      <w:bookmarkStart w:id="12" w:name="_Toc499124851"/>
      <w:r>
        <w:rPr>
          <w:rFonts w:hint="eastAsia" w:ascii="仿宋" w:hAnsi="仿宋" w:eastAsia="仿宋"/>
        </w:rPr>
        <w:t>3.3发展定位</w:t>
      </w:r>
      <w:bookmarkEnd w:id="12"/>
    </w:p>
    <w:p>
      <w:pPr>
        <w:ind w:firstLine="640" w:firstLineChars="200"/>
        <w:jc w:val="left"/>
        <w:rPr>
          <w:rFonts w:ascii="仿宋" w:hAnsi="仿宋" w:eastAsia="仿宋"/>
        </w:rPr>
      </w:pPr>
      <w:r>
        <w:rPr>
          <w:rFonts w:hint="eastAsia" w:ascii="仿宋" w:hAnsi="仿宋" w:eastAsia="仿宋"/>
          <w:sz w:val="32"/>
          <w:szCs w:val="32"/>
        </w:rPr>
        <w:t>本项目发展定位为：生态农业、精品农业、观光农业集中地，宗教历史文化游览地，禅院别墅、乡村客栈休息地，农家乐、特色养生体验地，田园旅游休闲地。</w:t>
      </w:r>
    </w:p>
    <w:p>
      <w:pPr>
        <w:pStyle w:val="3"/>
        <w:rPr>
          <w:rFonts w:ascii="仿宋" w:hAnsi="仿宋" w:eastAsia="仿宋"/>
        </w:rPr>
      </w:pPr>
      <w:bookmarkStart w:id="13" w:name="_Toc499124852"/>
      <w:r>
        <w:rPr>
          <w:rFonts w:hint="eastAsia" w:ascii="仿宋" w:hAnsi="仿宋" w:eastAsia="仿宋"/>
        </w:rPr>
        <w:t>3.4规划主题</w:t>
      </w:r>
      <w:bookmarkEnd w:id="13"/>
    </w:p>
    <w:p>
      <w:pPr>
        <w:ind w:firstLine="640" w:firstLineChars="200"/>
        <w:jc w:val="left"/>
        <w:rPr>
          <w:rFonts w:ascii="仿宋" w:hAnsi="仿宋" w:eastAsia="仿宋" w:cs="宋体"/>
          <w:sz w:val="32"/>
          <w:szCs w:val="32"/>
        </w:rPr>
      </w:pPr>
      <w:r>
        <w:rPr>
          <w:rFonts w:hint="eastAsia" w:ascii="仿宋" w:hAnsi="仿宋" w:eastAsia="仿宋" w:cs="宋体"/>
          <w:sz w:val="32"/>
          <w:szCs w:val="32"/>
        </w:rPr>
        <w:t xml:space="preserve">本规划主题为“温泉秘境、佛天果成”。 </w:t>
      </w:r>
    </w:p>
    <w:p>
      <w:pPr>
        <w:ind w:firstLine="643" w:firstLineChars="200"/>
        <w:jc w:val="left"/>
        <w:rPr>
          <w:rFonts w:ascii="仿宋" w:hAnsi="仿宋" w:eastAsia="仿宋" w:cs="宋体"/>
          <w:sz w:val="32"/>
          <w:szCs w:val="32"/>
        </w:rPr>
      </w:pPr>
      <w:r>
        <w:rPr>
          <w:rFonts w:hint="eastAsia" w:ascii="仿宋" w:hAnsi="仿宋" w:eastAsia="仿宋" w:cs="宋体"/>
          <w:b/>
          <w:bCs/>
          <w:sz w:val="32"/>
          <w:szCs w:val="32"/>
        </w:rPr>
        <w:t>温泉</w:t>
      </w:r>
      <w:r>
        <w:rPr>
          <w:rFonts w:hint="eastAsia" w:ascii="仿宋" w:hAnsi="仿宋" w:eastAsia="仿宋" w:cs="宋体"/>
          <w:sz w:val="32"/>
          <w:szCs w:val="32"/>
        </w:rPr>
        <w:t>项目区紧邻温泉景区，息烽温泉是全国著名八大温泉之一，位于赶子村南部，有“天台丛林”、“白石涌泉”、“奇石观瀑”、“慈云生佛”等八大景观。温泉水质经国家鉴定为“含偏硅酸和锶的重碳酸钙型氡泉”，是世界少有、国内著名的优质天然医疗和饮用矿泉水之一，含有多种对人体有益的微量元素，并含有放射性元素氡，水温稳定在53-56℃，被誉为“与法兰西维琪温泉相伯仲”的优质热矿泉，曾是全国劳模的疗养圣地。</w:t>
      </w:r>
    </w:p>
    <w:p>
      <w:pPr>
        <w:ind w:firstLine="643" w:firstLineChars="200"/>
        <w:jc w:val="left"/>
        <w:rPr>
          <w:rFonts w:ascii="仿宋" w:hAnsi="仿宋" w:eastAsia="仿宋" w:cs="宋体"/>
          <w:sz w:val="32"/>
          <w:szCs w:val="32"/>
        </w:rPr>
      </w:pPr>
      <w:r>
        <w:rPr>
          <w:rFonts w:hint="eastAsia" w:ascii="仿宋" w:hAnsi="仿宋" w:eastAsia="仿宋" w:cs="宋体"/>
          <w:b/>
          <w:bCs/>
          <w:sz w:val="32"/>
          <w:szCs w:val="32"/>
        </w:rPr>
        <w:t>天池秘境</w:t>
      </w:r>
      <w:r>
        <w:rPr>
          <w:rFonts w:hint="eastAsia" w:ascii="仿宋" w:hAnsi="仿宋" w:eastAsia="仿宋" w:cs="宋体"/>
          <w:sz w:val="32"/>
          <w:szCs w:val="32"/>
        </w:rPr>
        <w:t>项目区位于天池寺。在县城北25km养龙司赶齐寨。明崇祯八年，僧恒山建，清乾隆十三年，僧常朗；三十八年，僧静宜，皆重修清咸丰、同治年间（1851--1874）贵州少数民族苗、侗、布依等起义，战乱持续18余年。此次战乱时间长规模大，造成的损失和人员伤亡比较大。天池寺在此期间被毁。天池寺历史文化资源丰富，但是由于历史久远，人们对它的认知比较模糊，通过开发将原有的历史文化资源展示出来，创造一种“秘境'',吸引人们前来体验。</w:t>
      </w:r>
    </w:p>
    <w:p>
      <w:pPr>
        <w:ind w:firstLine="643" w:firstLineChars="200"/>
        <w:jc w:val="left"/>
        <w:rPr>
          <w:rFonts w:ascii="仿宋" w:hAnsi="仿宋" w:eastAsia="仿宋" w:cs="宋体"/>
          <w:sz w:val="32"/>
          <w:szCs w:val="32"/>
        </w:rPr>
      </w:pPr>
      <w:r>
        <w:rPr>
          <w:rFonts w:hint="eastAsia" w:ascii="仿宋" w:hAnsi="仿宋" w:eastAsia="仿宋" w:cs="宋体"/>
          <w:b/>
          <w:bCs/>
          <w:sz w:val="32"/>
          <w:szCs w:val="32"/>
        </w:rPr>
        <w:t>佛天。</w:t>
      </w:r>
      <w:r>
        <w:rPr>
          <w:rFonts w:hint="eastAsia" w:ascii="仿宋" w:hAnsi="仿宋" w:eastAsia="仿宋" w:cs="宋体"/>
          <w:sz w:val="32"/>
          <w:szCs w:val="32"/>
        </w:rPr>
        <w:t>即佛教所说的极乐世界，喻指本地景物极美之地。</w:t>
      </w:r>
    </w:p>
    <w:p>
      <w:pPr>
        <w:ind w:firstLine="643" w:firstLineChars="200"/>
        <w:jc w:val="left"/>
        <w:rPr>
          <w:rFonts w:ascii="仿宋" w:hAnsi="仿宋" w:eastAsia="仿宋" w:cs="宋体"/>
          <w:sz w:val="32"/>
          <w:szCs w:val="32"/>
        </w:rPr>
      </w:pPr>
      <w:r>
        <w:rPr>
          <w:rFonts w:hint="eastAsia" w:ascii="仿宋" w:hAnsi="仿宋" w:eastAsia="仿宋" w:cs="宋体"/>
          <w:b/>
          <w:bCs/>
          <w:sz w:val="32"/>
          <w:szCs w:val="32"/>
        </w:rPr>
        <w:t>果成。</w:t>
      </w:r>
      <w:r>
        <w:rPr>
          <w:rFonts w:hint="eastAsia" w:ascii="仿宋" w:hAnsi="仿宋" w:eastAsia="仿宋" w:cs="宋体"/>
          <w:sz w:val="32"/>
          <w:szCs w:val="32"/>
        </w:rPr>
        <w:t>佛教用语，喻指赶子村发展经果林，成为“果城”。</w:t>
      </w:r>
    </w:p>
    <w:p>
      <w:pPr>
        <w:pStyle w:val="3"/>
        <w:rPr>
          <w:rFonts w:ascii="仿宋" w:hAnsi="仿宋" w:eastAsia="仿宋"/>
        </w:rPr>
      </w:pPr>
      <w:bookmarkStart w:id="14" w:name="_Toc499124853"/>
      <w:r>
        <w:rPr>
          <w:rFonts w:hint="eastAsia" w:ascii="仿宋" w:hAnsi="仿宋" w:eastAsia="仿宋"/>
        </w:rPr>
        <w:t>3.5功能分区</w:t>
      </w:r>
      <w:bookmarkEnd w:id="14"/>
    </w:p>
    <w:p>
      <w:pPr>
        <w:ind w:firstLine="640" w:firstLineChars="200"/>
        <w:rPr>
          <w:rFonts w:ascii="仿宋" w:hAnsi="仿宋" w:eastAsia="仿宋"/>
          <w:sz w:val="32"/>
          <w:szCs w:val="32"/>
        </w:rPr>
      </w:pPr>
      <w:r>
        <w:rPr>
          <w:rFonts w:hint="eastAsia" w:ascii="仿宋" w:hAnsi="仿宋" w:eastAsia="仿宋"/>
          <w:sz w:val="32"/>
          <w:szCs w:val="32"/>
        </w:rPr>
        <w:t>本项目根据赶子村自然条件、地形地貌、人文历史等资源特点，主要分为美丽村庄、生态果园、湖光山色、天池礼佛、山地探险五大功能区。</w:t>
      </w:r>
    </w:p>
    <w:p>
      <w:pPr>
        <w:ind w:firstLine="643" w:firstLineChars="200"/>
        <w:rPr>
          <w:rFonts w:ascii="仿宋" w:hAnsi="仿宋" w:eastAsia="仿宋"/>
          <w:sz w:val="32"/>
          <w:szCs w:val="32"/>
        </w:rPr>
      </w:pPr>
      <w:r>
        <w:rPr>
          <w:rFonts w:hint="eastAsia" w:ascii="仿宋" w:hAnsi="仿宋" w:eastAsia="仿宋"/>
          <w:b/>
          <w:bCs/>
          <w:sz w:val="32"/>
          <w:szCs w:val="32"/>
        </w:rPr>
        <w:t>美丽村庄</w:t>
      </w:r>
      <w:r>
        <w:rPr>
          <w:rFonts w:hint="eastAsia" w:ascii="仿宋" w:hAnsi="仿宋" w:eastAsia="仿宋"/>
          <w:sz w:val="32"/>
          <w:szCs w:val="32"/>
        </w:rPr>
        <w:t>。区域内部进行危房拆除、违章拆除、旧房整修、新房保留的城乡风貌改造，以确保全村风貌的统一协调。完善公共服务设施和基础设施。</w:t>
      </w:r>
    </w:p>
    <w:p>
      <w:pPr>
        <w:ind w:firstLine="643" w:firstLineChars="200"/>
        <w:rPr>
          <w:rFonts w:ascii="仿宋" w:hAnsi="仿宋" w:eastAsia="仿宋"/>
          <w:sz w:val="32"/>
          <w:szCs w:val="32"/>
        </w:rPr>
      </w:pPr>
      <w:r>
        <w:rPr>
          <w:rFonts w:hint="eastAsia" w:ascii="仿宋" w:hAnsi="仿宋" w:eastAsia="仿宋"/>
          <w:b/>
          <w:bCs/>
          <w:sz w:val="32"/>
          <w:szCs w:val="32"/>
        </w:rPr>
        <w:t>生态果园</w:t>
      </w:r>
      <w:r>
        <w:rPr>
          <w:rFonts w:hint="eastAsia" w:ascii="仿宋" w:hAnsi="仿宋" w:eastAsia="仿宋"/>
          <w:sz w:val="32"/>
          <w:szCs w:val="32"/>
        </w:rPr>
        <w:t>。规划利用村庄周边现有的田园，通过技术手段将其土壤改良，建设集瓜果观光、采摘于一体的田园观光采摘区。</w:t>
      </w:r>
    </w:p>
    <w:p>
      <w:pPr>
        <w:ind w:firstLine="643" w:firstLineChars="200"/>
        <w:rPr>
          <w:rFonts w:ascii="仿宋" w:hAnsi="仿宋" w:eastAsia="仿宋"/>
          <w:sz w:val="32"/>
          <w:szCs w:val="32"/>
        </w:rPr>
      </w:pPr>
      <w:r>
        <w:rPr>
          <w:rFonts w:hint="eastAsia" w:ascii="仿宋" w:hAnsi="仿宋" w:eastAsia="仿宋"/>
          <w:b/>
          <w:bCs/>
          <w:sz w:val="32"/>
          <w:szCs w:val="32"/>
        </w:rPr>
        <w:t>湖光山色</w:t>
      </w:r>
      <w:r>
        <w:rPr>
          <w:rFonts w:hint="eastAsia" w:ascii="仿宋" w:hAnsi="仿宋" w:eastAsia="仿宋"/>
          <w:sz w:val="32"/>
          <w:szCs w:val="32"/>
        </w:rPr>
        <w:t>。新建一座农业水利设施满足经果林的用水需求规划利用村庄西南面新修山塘旁的平缓用地，通过环境整治、营造，配套相关设施，建设环境优美、设施完善的休闲度假用地</w:t>
      </w:r>
    </w:p>
    <w:p>
      <w:pPr>
        <w:ind w:firstLine="643" w:firstLineChars="200"/>
        <w:rPr>
          <w:rFonts w:ascii="仿宋" w:hAnsi="仿宋" w:eastAsia="仿宋"/>
          <w:sz w:val="32"/>
          <w:szCs w:val="32"/>
        </w:rPr>
      </w:pPr>
      <w:r>
        <w:rPr>
          <w:rFonts w:hint="eastAsia" w:ascii="仿宋" w:hAnsi="仿宋" w:eastAsia="仿宋"/>
          <w:b/>
          <w:bCs/>
          <w:sz w:val="32"/>
          <w:szCs w:val="32"/>
        </w:rPr>
        <w:t>天池礼佛</w:t>
      </w:r>
      <w:r>
        <w:rPr>
          <w:rFonts w:hint="eastAsia" w:ascii="仿宋" w:hAnsi="仿宋" w:eastAsia="仿宋"/>
          <w:sz w:val="32"/>
          <w:szCs w:val="32"/>
        </w:rPr>
        <w:t>。在营盘山上恢复重建天池寺和修建露天佛像，并在山下配套建设游乐园等相关设施，使其成为文化气息浓郁的特色区域，供游客游赏体验。</w:t>
      </w:r>
    </w:p>
    <w:p>
      <w:pPr>
        <w:ind w:firstLine="420" w:firstLineChars="200"/>
        <w:rPr>
          <w:rFonts w:ascii="仿宋" w:hAnsi="仿宋" w:eastAsia="仿宋"/>
          <w:sz w:val="32"/>
          <w:szCs w:val="32"/>
        </w:rPr>
      </w:pPr>
      <w:r>
        <w:rPr>
          <w:rFonts w:ascii="仿宋" w:hAnsi="仿宋" w:eastAsia="仿宋" w:cs="黑体"/>
          <w:kern w:val="2"/>
          <w:sz w:val="21"/>
          <w:szCs w:val="24"/>
          <w:lang w:val="en-US" w:eastAsia="zh-CN" w:bidi="ar-SA"/>
        </w:rPr>
        <w:pict>
          <v:shape id="_x0000_s1028" o:spid="_x0000_s1028" o:spt="75" type="#_x0000_t75" style="position:absolute;left:0pt;margin-left:29.35pt;margin-top:170.55pt;height:474.75pt;width:367.85pt;mso-wrap-distance-bottom:0pt;mso-wrap-distance-top:0pt;z-index:251661312;mso-width-relative:page;mso-height-relative:page;" fillcolor="#FFFFFF" filled="f" o:preferrelative="t" stroked="f" coordsize="21600,21600">
            <v:path/>
            <v:fill on="f" color2="#FFFFFF" focussize="0,0"/>
            <v:stroke on="f"/>
            <v:imagedata r:id="rId6" cropleft="8666f" croptop="12629f" cropright="12884f" cropbottom="6881f" gain="65536f" blacklevel="0f" gamma="0" o:title=""/>
            <o:lock v:ext="edit" position="f" selection="f" grouping="f" rotation="f" cropping="f" text="f" aspectratio="t"/>
            <w10:wrap type="topAndBottom"/>
          </v:shape>
        </w:pict>
      </w:r>
      <w:r>
        <w:rPr>
          <w:rFonts w:hint="eastAsia" w:ascii="仿宋" w:hAnsi="仿宋" w:eastAsia="仿宋"/>
          <w:b/>
          <w:bCs/>
          <w:sz w:val="32"/>
          <w:szCs w:val="32"/>
        </w:rPr>
        <w:t>山地探险</w:t>
      </w:r>
      <w:r>
        <w:rPr>
          <w:rFonts w:hint="eastAsia" w:ascii="仿宋" w:hAnsi="仿宋" w:eastAsia="仿宋"/>
          <w:sz w:val="32"/>
          <w:szCs w:val="32"/>
        </w:rPr>
        <w:t>。规划结合周边良好的生态环境、优美的自然景观以及周边的邱家古营、摇儿石、古家大洞等溶洞景观，开展观光探秘旅游活动。规划结合石牛山土层较薄，不利于耕作的情况，在节点修建CS训练基地、汽车露营地、登高望远健身步道等节点。</w:t>
      </w:r>
    </w:p>
    <w:p>
      <w:pPr>
        <w:pStyle w:val="3"/>
        <w:rPr>
          <w:rFonts w:ascii="仿宋" w:hAnsi="仿宋" w:eastAsia="仿宋"/>
        </w:rPr>
      </w:pPr>
      <w:bookmarkStart w:id="15" w:name="_Toc499124854"/>
      <w:r>
        <w:rPr>
          <w:rFonts w:hint="eastAsia" w:ascii="仿宋" w:hAnsi="仿宋" w:eastAsia="仿宋"/>
        </w:rPr>
        <w:t>3.6产业布局</w:t>
      </w:r>
      <w:bookmarkEnd w:id="15"/>
    </w:p>
    <w:p>
      <w:pPr>
        <w:ind w:firstLine="640" w:firstLineChars="200"/>
        <w:rPr>
          <w:rFonts w:ascii="仿宋" w:hAnsi="仿宋" w:eastAsia="仿宋"/>
          <w:sz w:val="32"/>
          <w:szCs w:val="32"/>
        </w:rPr>
      </w:pPr>
      <w:r>
        <w:rPr>
          <w:rFonts w:hint="eastAsia" w:ascii="仿宋" w:hAnsi="仿宋" w:eastAsia="仿宋"/>
          <w:sz w:val="32"/>
          <w:szCs w:val="32"/>
        </w:rPr>
        <w:t>本项目重点发展经果林种植产业、生态养殖相关产业、高效设施农业、旅游接待服务业。</w:t>
      </w:r>
    </w:p>
    <w:p>
      <w:pPr>
        <w:ind w:firstLine="643" w:firstLineChars="200"/>
        <w:rPr>
          <w:rFonts w:ascii="仿宋" w:hAnsi="仿宋" w:eastAsia="仿宋"/>
          <w:sz w:val="32"/>
          <w:szCs w:val="32"/>
        </w:rPr>
      </w:pPr>
      <w:r>
        <w:rPr>
          <w:rFonts w:hint="eastAsia" w:ascii="仿宋" w:hAnsi="仿宋" w:eastAsia="仿宋"/>
          <w:b/>
          <w:bCs/>
          <w:sz w:val="32"/>
          <w:szCs w:val="32"/>
        </w:rPr>
        <w:t>经果林种植产业。</w:t>
      </w:r>
      <w:r>
        <w:rPr>
          <w:rFonts w:hint="eastAsia" w:ascii="仿宋" w:hAnsi="仿宋" w:eastAsia="仿宋"/>
          <w:sz w:val="32"/>
          <w:szCs w:val="32"/>
        </w:rPr>
        <w:t>根据不同的土壤特性和区位选择猕猴桃、李子、草莓、柑橘、葡萄的品种发展经果林种植，在水果成熟期举办水果采摘节等活动，提高当地旅游热度。</w:t>
      </w:r>
    </w:p>
    <w:p>
      <w:pPr>
        <w:ind w:firstLine="643" w:firstLineChars="200"/>
        <w:rPr>
          <w:rFonts w:ascii="仿宋" w:hAnsi="仿宋" w:eastAsia="仿宋"/>
          <w:sz w:val="32"/>
          <w:szCs w:val="32"/>
        </w:rPr>
      </w:pPr>
      <w:r>
        <w:rPr>
          <w:rFonts w:hint="eastAsia" w:ascii="仿宋" w:hAnsi="仿宋" w:eastAsia="仿宋"/>
          <w:b/>
          <w:bCs/>
          <w:sz w:val="32"/>
          <w:szCs w:val="32"/>
        </w:rPr>
        <w:t>生态养殖相关产业。</w:t>
      </w:r>
      <w:r>
        <w:rPr>
          <w:rFonts w:hint="eastAsia" w:ascii="仿宋" w:hAnsi="仿宋" w:eastAsia="仿宋"/>
          <w:sz w:val="32"/>
          <w:szCs w:val="32"/>
        </w:rPr>
        <w:t>靠近山塘可以适当开发一些对水质影响比较低的水产，满足游客消费需求。</w:t>
      </w:r>
    </w:p>
    <w:p>
      <w:pPr>
        <w:ind w:firstLine="643" w:firstLineChars="200"/>
        <w:rPr>
          <w:rFonts w:ascii="仿宋" w:hAnsi="仿宋" w:eastAsia="仿宋"/>
          <w:sz w:val="32"/>
          <w:szCs w:val="32"/>
        </w:rPr>
      </w:pPr>
      <w:r>
        <w:rPr>
          <w:rFonts w:hint="eastAsia" w:ascii="仿宋" w:hAnsi="仿宋" w:eastAsia="仿宋"/>
          <w:b/>
          <w:bCs/>
          <w:sz w:val="32"/>
          <w:szCs w:val="32"/>
        </w:rPr>
        <w:t>高效设施农业。</w:t>
      </w:r>
      <w:r>
        <w:rPr>
          <w:rFonts w:hint="eastAsia" w:ascii="仿宋" w:hAnsi="仿宋" w:eastAsia="仿宋"/>
          <w:sz w:val="32"/>
          <w:szCs w:val="32"/>
        </w:rPr>
        <w:t>凭借优越的交通区位，通过与农业科研机构，建设一些温室、网室等农业设施，发展高效农业。</w:t>
      </w:r>
    </w:p>
    <w:p>
      <w:pPr>
        <w:ind w:firstLine="643" w:firstLineChars="200"/>
        <w:rPr>
          <w:rFonts w:ascii="仿宋" w:hAnsi="仿宋" w:eastAsia="仿宋"/>
          <w:sz w:val="32"/>
          <w:szCs w:val="32"/>
        </w:rPr>
      </w:pPr>
      <w:r>
        <w:rPr>
          <w:rFonts w:hint="eastAsia" w:ascii="仿宋" w:hAnsi="仿宋" w:eastAsia="仿宋"/>
          <w:b/>
          <w:bCs/>
          <w:sz w:val="32"/>
          <w:szCs w:val="32"/>
        </w:rPr>
        <w:t>旅游接待服务业。</w:t>
      </w:r>
      <w:r>
        <w:rPr>
          <w:rFonts w:hint="eastAsia" w:ascii="仿宋" w:hAnsi="仿宋" w:eastAsia="仿宋"/>
          <w:sz w:val="32"/>
          <w:szCs w:val="32"/>
        </w:rPr>
        <w:t>充分利用赶子村现有自然景观资源、特色农家饮食等资源，开展“四在农家”一条龙特色生态旅游产业。借生态旅游发展契机，鼓励和引导当地有条件的村民开设农家乐，配套餐饮、住宿、娱乐等服务产业，完善旅游配套产业。</w:t>
      </w:r>
    </w:p>
    <w:p>
      <w:pPr>
        <w:pStyle w:val="3"/>
        <w:rPr>
          <w:rFonts w:ascii="仿宋" w:hAnsi="仿宋" w:eastAsia="仿宋"/>
        </w:rPr>
      </w:pPr>
      <w:bookmarkStart w:id="16" w:name="_Toc499124855"/>
      <w:bookmarkStart w:id="17" w:name="_Toc28758"/>
      <w:r>
        <w:rPr>
          <w:rFonts w:hint="eastAsia" w:ascii="仿宋" w:hAnsi="仿宋" w:eastAsia="仿宋"/>
        </w:rPr>
        <w:t>3.7配套设施建设</w:t>
      </w:r>
      <w:bookmarkEnd w:id="16"/>
    </w:p>
    <w:bookmarkEnd w:id="17"/>
    <w:p>
      <w:pPr>
        <w:ind w:firstLine="640" w:firstLineChars="200"/>
        <w:rPr>
          <w:rFonts w:ascii="仿宋" w:hAnsi="仿宋" w:eastAsia="仿宋"/>
          <w:sz w:val="32"/>
          <w:szCs w:val="32"/>
        </w:rPr>
      </w:pPr>
      <w:r>
        <w:rPr>
          <w:rFonts w:hint="eastAsia" w:ascii="仿宋" w:hAnsi="仿宋" w:eastAsia="仿宋" w:cs="宋体"/>
          <w:sz w:val="32"/>
          <w:szCs w:val="32"/>
        </w:rPr>
        <w:t>对内部交通进行优化升级，规划建设村庄机耕道、修缮古驿道、修建木栈道、步行道、观光缆车道等；修建游客接待中心，停车场，生态厕所，指路牌，警示牌等配套设施。并</w:t>
      </w:r>
      <w:r>
        <w:rPr>
          <w:rFonts w:hint="eastAsia" w:ascii="仿宋" w:hAnsi="仿宋" w:eastAsia="仿宋"/>
          <w:sz w:val="32"/>
          <w:szCs w:val="32"/>
        </w:rPr>
        <w:t>通过雕塑、景观墙、指示牌、休闲凳、围栏、垃圾桶、照明等建筑小品的精心设计，运用传统材料，烘托自然村落的风貌景观。通过对景、借景等传统的园林设计手法，创造景观廊道，增强景观节点的延续性，形成亲切宜人的自然与人工相结合的空间环境。</w:t>
      </w:r>
    </w:p>
    <w:p>
      <w:pPr>
        <w:pStyle w:val="2"/>
        <w:numPr>
          <w:ilvl w:val="0"/>
          <w:numId w:val="1"/>
        </w:numPr>
        <w:rPr>
          <w:rFonts w:ascii="仿宋" w:hAnsi="仿宋" w:eastAsia="仿宋"/>
        </w:rPr>
      </w:pPr>
      <w:bookmarkStart w:id="18" w:name="_Toc499124856"/>
      <w:r>
        <w:rPr>
          <w:rFonts w:hint="eastAsia" w:ascii="仿宋" w:hAnsi="仿宋" w:eastAsia="仿宋"/>
        </w:rPr>
        <w:t>项目建设条件</w:t>
      </w:r>
      <w:bookmarkEnd w:id="18"/>
    </w:p>
    <w:p>
      <w:pPr>
        <w:pStyle w:val="3"/>
        <w:rPr>
          <w:rFonts w:ascii="仿宋" w:hAnsi="仿宋" w:eastAsia="仿宋"/>
        </w:rPr>
      </w:pPr>
      <w:bookmarkStart w:id="19" w:name="_Toc499124857"/>
      <w:r>
        <w:rPr>
          <w:rFonts w:hint="eastAsia" w:ascii="仿宋" w:hAnsi="仿宋" w:eastAsia="仿宋"/>
        </w:rPr>
        <w:t>4.1区位交通条件</w:t>
      </w:r>
      <w:bookmarkEnd w:id="19"/>
    </w:p>
    <w:p>
      <w:pPr>
        <w:ind w:firstLine="640" w:firstLineChars="200"/>
        <w:rPr>
          <w:rFonts w:ascii="仿宋" w:hAnsi="仿宋" w:eastAsia="仿宋" w:cs="宋体"/>
          <w:sz w:val="32"/>
          <w:szCs w:val="32"/>
        </w:rPr>
      </w:pPr>
      <w:r>
        <w:rPr>
          <w:rFonts w:hint="eastAsia" w:ascii="仿宋" w:hAnsi="仿宋" w:eastAsia="仿宋" w:cs="宋体"/>
          <w:kern w:val="2"/>
          <w:sz w:val="32"/>
          <w:szCs w:val="32"/>
          <w:lang w:val="en-US" w:eastAsia="zh-CN" w:bidi="ar-SA"/>
        </w:rPr>
        <w:pict>
          <v:shape id="_x0000_s1029" o:spid="_x0000_s1029" o:spt="75" type="#_x0000_t75" style="position:absolute;left:0pt;margin-left:20pt;margin-top:2.1pt;height:268.85pt;width:392.5pt;mso-wrap-distance-bottom:0pt;mso-wrap-distance-top:0pt;z-index:251662336;mso-width-relative:page;mso-height-relative:page;" fillcolor="#FFFFFF" filled="f" o:preferrelative="t" stroked="f" coordsize="21600,21600">
            <v:path/>
            <v:fill on="f" color2="#FFFFFF" focussize="0,0"/>
            <v:stroke on="f"/>
            <v:imagedata r:id="rId7" gain="65536f" blacklevel="0f" gamma="0" o:title=""/>
            <o:lock v:ext="edit" position="f" selection="f" grouping="f" rotation="f" cropping="f" text="f" aspectratio="t"/>
            <w10:wrap type="topAndBottom"/>
          </v:shape>
        </w:pict>
      </w:r>
      <w:r>
        <w:rPr>
          <w:rFonts w:hint="eastAsia" w:ascii="仿宋" w:hAnsi="仿宋" w:eastAsia="仿宋" w:cs="宋体"/>
          <w:sz w:val="32"/>
          <w:szCs w:val="32"/>
        </w:rPr>
        <w:t>温泉镇位于息烽县东北部，乌江南岸，东与开阳县永温乡接壤，西连本县养龙司乡，北邻遵义地区乌江镇，南与本县小寨坝镇相交。赶子村地处温泉镇北部，距镇政府所在地4公里。该村东邻本镇三交村，南与温泉镇区、天台村相连，西与本镇尹庵村接壤，北接本镇大尖山村。本项目位于北部农业发展区、南部生态保育区和中部工矿优化区的中间地带，产业发展的区位优势好。紧邻川黔铁路、渝黔高铁和息开高速，交通便利。</w:t>
      </w:r>
    </w:p>
    <w:p>
      <w:pPr>
        <w:pStyle w:val="3"/>
        <w:rPr>
          <w:rFonts w:ascii="仿宋" w:hAnsi="仿宋" w:eastAsia="仿宋"/>
          <w:szCs w:val="22"/>
        </w:rPr>
      </w:pPr>
      <w:bookmarkStart w:id="20" w:name="_Toc499124858"/>
      <w:r>
        <w:rPr>
          <w:rFonts w:hint="eastAsia" w:ascii="仿宋" w:hAnsi="仿宋" w:eastAsia="仿宋"/>
          <w:szCs w:val="22"/>
        </w:rPr>
        <w:t>4.2</w:t>
      </w:r>
      <w:r>
        <w:rPr>
          <w:rFonts w:hint="eastAsia" w:ascii="仿宋" w:hAnsi="仿宋" w:eastAsia="仿宋"/>
        </w:rPr>
        <w:t>资源</w:t>
      </w:r>
      <w:r>
        <w:rPr>
          <w:rFonts w:hint="eastAsia" w:ascii="仿宋" w:hAnsi="仿宋" w:eastAsia="仿宋"/>
          <w:szCs w:val="22"/>
        </w:rPr>
        <w:t>环境条件</w:t>
      </w:r>
      <w:bookmarkEnd w:id="20"/>
    </w:p>
    <w:p>
      <w:pPr>
        <w:ind w:firstLine="640" w:firstLineChars="200"/>
        <w:rPr>
          <w:rFonts w:ascii="仿宋" w:hAnsi="仿宋" w:eastAsia="仿宋"/>
          <w:sz w:val="32"/>
          <w:szCs w:val="32"/>
        </w:rPr>
      </w:pPr>
      <w:r>
        <w:rPr>
          <w:rFonts w:hint="eastAsia" w:ascii="仿宋" w:hAnsi="仿宋" w:eastAsia="仿宋"/>
          <w:sz w:val="32"/>
          <w:szCs w:val="32"/>
        </w:rPr>
        <w:t>自然资源，温泉镇平均海拔725米，年平均气温17℃，年降雨量在1200—1350毫米之间，全年日照时数1300小时左右，无霜期280天以上。旅游资源有待重建的天池寺，自然景观石牛山、摇儿石等，历史遗迹有邱家古营、古驿道等痕迹。已纳入规划的拟建项目有10万立方米的小型山塘和天池山山体公园。矿产资源主要有煤、铝钒土、硅石等，铝钒土的品较高，储量极为丰富。人力资源方面，赶子村共辖14个村民组，428户1845人，从业人员972人。</w:t>
      </w:r>
    </w:p>
    <w:p>
      <w:pPr>
        <w:pStyle w:val="3"/>
        <w:rPr>
          <w:rFonts w:ascii="仿宋" w:hAnsi="仿宋" w:eastAsia="仿宋"/>
        </w:rPr>
      </w:pPr>
      <w:bookmarkStart w:id="21" w:name="_Toc499124859"/>
      <w:r>
        <w:rPr>
          <w:rFonts w:hint="eastAsia" w:ascii="仿宋" w:hAnsi="仿宋" w:eastAsia="仿宋"/>
        </w:rPr>
        <w:t>4.3可开发条件</w:t>
      </w:r>
      <w:bookmarkEnd w:id="21"/>
    </w:p>
    <w:p>
      <w:pPr>
        <w:ind w:firstLine="640" w:firstLineChars="200"/>
        <w:rPr>
          <w:rFonts w:ascii="仿宋" w:hAnsi="仿宋" w:eastAsia="仿宋"/>
          <w:sz w:val="32"/>
          <w:szCs w:val="32"/>
        </w:rPr>
      </w:pPr>
      <w:r>
        <w:rPr>
          <w:rFonts w:hint="eastAsia" w:ascii="仿宋" w:hAnsi="仿宋" w:eastAsia="仿宋"/>
          <w:sz w:val="32"/>
          <w:szCs w:val="32"/>
        </w:rPr>
        <w:t>村级公路已全面修通，农村电网改造已经全面完成，程控电话已安装到村，有移动机站1个。域内赶齐寨、天池寺等在温泉镇历史上具有一定的知名度，佛教历史渊源深厚，有现存建筑物，易改造。通过改造提升再利用，能够增强赶子村影响力并传承赶子村历史。基地村内地块现状多为村民的居住用房和生产用房，建筑层数以1—3层为主，村庄整体风貌较好，易进行统一的规划设计和开发建设。基地内部地形地貌丰富，通过打造，易创造丰富多样的空间感受，让游览者有多重体验。</w:t>
      </w:r>
    </w:p>
    <w:p>
      <w:pPr>
        <w:jc w:val="center"/>
        <w:rPr>
          <w:rFonts w:ascii="仿宋" w:hAnsi="仿宋" w:eastAsia="仿宋"/>
          <w:sz w:val="32"/>
          <w:szCs w:val="32"/>
        </w:rPr>
      </w:pPr>
      <w:r>
        <w:rPr>
          <w:rFonts w:ascii="仿宋" w:hAnsi="仿宋" w:eastAsia="仿宋" w:cs="黑体"/>
          <w:kern w:val="2"/>
          <w:sz w:val="21"/>
          <w:szCs w:val="24"/>
          <w:lang w:val="en-US" w:eastAsia="zh-CN" w:bidi="ar-SA"/>
        </w:rPr>
        <w:pict>
          <v:shape id="图片 2" o:spid="_x0000_s1030" o:spt="75" type="#_x0000_t75" style="position:absolute;left:0pt;margin-left:17.9pt;margin-top:3.1pt;height:338.45pt;width:388.45pt;mso-wrap-distance-bottom:0pt;mso-wrap-distance-top:0pt;z-index:251659264;mso-width-relative:page;mso-height-relative:page;" fillcolor="#FFFFFF" filled="f" o:preferrelative="t" stroked="f" coordsize="21600,21600">
            <v:path/>
            <v:fill on="f" color2="#FFFFFF" focussize="0,0"/>
            <v:stroke on="f"/>
            <v:imagedata r:id="rId8" cropleft="11068f" croptop="7385f" cropright="13766f" cropbottom="8016f" gain="65536f" blacklevel="0f" gamma="0" chromakey="#FEFEFE" o:title=""/>
            <o:lock v:ext="edit" position="f" selection="f" grouping="f" rotation="f" cropping="f" text="f" aspectratio="t"/>
            <w10:wrap type="topAndBottom"/>
          </v:shape>
        </w:pict>
      </w:r>
    </w:p>
    <w:p>
      <w:pPr>
        <w:pStyle w:val="3"/>
        <w:rPr>
          <w:rFonts w:ascii="仿宋" w:hAnsi="仿宋" w:eastAsia="仿宋"/>
        </w:rPr>
      </w:pPr>
      <w:bookmarkStart w:id="22" w:name="_Toc499124860"/>
      <w:r>
        <w:rPr>
          <w:rFonts w:hint="eastAsia" w:ascii="仿宋" w:hAnsi="仿宋" w:eastAsia="仿宋"/>
        </w:rPr>
        <w:t>4.4项目进度安排</w:t>
      </w:r>
      <w:bookmarkEnd w:id="22"/>
    </w:p>
    <w:p>
      <w:pPr>
        <w:ind w:firstLine="640" w:firstLineChars="200"/>
        <w:rPr>
          <w:rFonts w:ascii="仿宋" w:hAnsi="仿宋" w:eastAsia="仿宋"/>
          <w:sz w:val="32"/>
          <w:szCs w:val="32"/>
        </w:rPr>
      </w:pPr>
      <w:r>
        <w:rPr>
          <w:rFonts w:hint="eastAsia" w:ascii="仿宋" w:hAnsi="仿宋" w:eastAsia="仿宋"/>
          <w:sz w:val="32"/>
          <w:szCs w:val="32"/>
        </w:rPr>
        <w:t>本项目建设规划分三个阶段进行：</w:t>
      </w:r>
    </w:p>
    <w:p>
      <w:pPr>
        <w:ind w:firstLine="643" w:firstLineChars="200"/>
        <w:rPr>
          <w:rFonts w:ascii="仿宋" w:hAnsi="仿宋" w:eastAsia="仿宋"/>
          <w:b/>
          <w:bCs/>
          <w:sz w:val="32"/>
          <w:szCs w:val="32"/>
        </w:rPr>
      </w:pPr>
      <w:r>
        <w:rPr>
          <w:rFonts w:hint="eastAsia" w:ascii="仿宋" w:hAnsi="仿宋" w:eastAsia="仿宋"/>
          <w:b/>
          <w:bCs/>
          <w:sz w:val="32"/>
          <w:szCs w:val="32"/>
        </w:rPr>
        <w:t>第一阶段：</w:t>
      </w:r>
    </w:p>
    <w:p>
      <w:pPr>
        <w:ind w:firstLine="640" w:firstLineChars="200"/>
        <w:rPr>
          <w:rFonts w:ascii="仿宋" w:hAnsi="仿宋" w:eastAsia="仿宋"/>
          <w:sz w:val="32"/>
          <w:szCs w:val="32"/>
        </w:rPr>
      </w:pPr>
      <w:r>
        <w:rPr>
          <w:rFonts w:hint="eastAsia" w:ascii="仿宋" w:hAnsi="仿宋" w:eastAsia="仿宋"/>
          <w:sz w:val="32"/>
          <w:szCs w:val="32"/>
        </w:rPr>
        <w:t>（1）改造升级进村的四级油路，使得旅游大巴车能进入赶子村。梳理村内道路，改善村庄内部交通；建设公路入村内交叉口景观，对入口处进行造果林绿化；</w:t>
      </w:r>
    </w:p>
    <w:p>
      <w:pPr>
        <w:ind w:firstLine="640" w:firstLineChars="200"/>
        <w:rPr>
          <w:rFonts w:ascii="仿宋" w:hAnsi="仿宋" w:eastAsia="仿宋"/>
          <w:sz w:val="32"/>
          <w:szCs w:val="32"/>
        </w:rPr>
      </w:pPr>
      <w:r>
        <w:rPr>
          <w:rFonts w:hint="eastAsia" w:ascii="仿宋" w:hAnsi="仿宋" w:eastAsia="仿宋"/>
          <w:sz w:val="32"/>
          <w:szCs w:val="32"/>
        </w:rPr>
        <w:t>（2）开发摇儿石、古家大洞等新景点，建设采摘体验区、生态田园等村内景观；</w:t>
      </w:r>
    </w:p>
    <w:p>
      <w:pPr>
        <w:ind w:firstLine="640" w:firstLineChars="200"/>
        <w:rPr>
          <w:rFonts w:ascii="仿宋" w:hAnsi="仿宋" w:eastAsia="仿宋"/>
          <w:sz w:val="32"/>
          <w:szCs w:val="32"/>
        </w:rPr>
      </w:pPr>
      <w:r>
        <w:rPr>
          <w:rFonts w:hint="eastAsia" w:ascii="仿宋" w:hAnsi="仿宋" w:eastAsia="仿宋"/>
          <w:sz w:val="32"/>
          <w:szCs w:val="32"/>
        </w:rPr>
        <w:t>（3）对赶子村内部的二类建筑进行立面整治，拆除三类建筑；</w:t>
      </w:r>
    </w:p>
    <w:p>
      <w:pPr>
        <w:ind w:firstLine="640" w:firstLineChars="200"/>
        <w:rPr>
          <w:rFonts w:ascii="仿宋" w:hAnsi="仿宋" w:eastAsia="仿宋"/>
          <w:sz w:val="32"/>
          <w:szCs w:val="32"/>
        </w:rPr>
      </w:pPr>
      <w:r>
        <w:rPr>
          <w:rFonts w:hint="eastAsia" w:ascii="仿宋" w:hAnsi="仿宋" w:eastAsia="仿宋"/>
          <w:sz w:val="32"/>
          <w:szCs w:val="32"/>
        </w:rPr>
        <w:t>（4）局部改善村庄基础设施，建立垃圾收集点，改善路灯、护栏等旅游基础设施；</w:t>
      </w:r>
    </w:p>
    <w:p>
      <w:pPr>
        <w:ind w:firstLine="640" w:firstLineChars="200"/>
        <w:rPr>
          <w:rFonts w:ascii="仿宋" w:hAnsi="仿宋" w:eastAsia="仿宋"/>
          <w:sz w:val="32"/>
          <w:szCs w:val="32"/>
        </w:rPr>
      </w:pPr>
      <w:r>
        <w:rPr>
          <w:rFonts w:hint="eastAsia" w:ascii="仿宋" w:hAnsi="仿宋" w:eastAsia="仿宋"/>
          <w:sz w:val="32"/>
          <w:szCs w:val="32"/>
        </w:rPr>
        <w:t>（5）开始农田水利设施和天池寺的建设。</w:t>
      </w:r>
    </w:p>
    <w:p>
      <w:pPr>
        <w:ind w:firstLine="643" w:firstLineChars="200"/>
        <w:rPr>
          <w:rFonts w:ascii="仿宋" w:hAnsi="仿宋" w:eastAsia="仿宋"/>
          <w:b/>
          <w:bCs/>
          <w:sz w:val="32"/>
          <w:szCs w:val="32"/>
        </w:rPr>
      </w:pPr>
      <w:r>
        <w:rPr>
          <w:rFonts w:hint="eastAsia" w:ascii="仿宋" w:hAnsi="仿宋" w:eastAsia="仿宋"/>
          <w:b/>
          <w:bCs/>
          <w:sz w:val="32"/>
          <w:szCs w:val="32"/>
        </w:rPr>
        <w:t>第二阶段：</w:t>
      </w:r>
    </w:p>
    <w:p>
      <w:pPr>
        <w:ind w:firstLine="640" w:firstLineChars="200"/>
        <w:rPr>
          <w:rFonts w:ascii="仿宋" w:hAnsi="仿宋" w:eastAsia="仿宋"/>
          <w:sz w:val="32"/>
          <w:szCs w:val="32"/>
        </w:rPr>
      </w:pPr>
      <w:r>
        <w:rPr>
          <w:rFonts w:hint="eastAsia" w:ascii="仿宋" w:hAnsi="仿宋" w:eastAsia="仿宋"/>
          <w:sz w:val="32"/>
          <w:szCs w:val="32"/>
        </w:rPr>
        <w:t>（1）完善公共绿地，以村庄为中心逐渐往外拓展果林绿化，美化村民居住环境；</w:t>
      </w:r>
    </w:p>
    <w:p>
      <w:pPr>
        <w:ind w:firstLine="640" w:firstLineChars="200"/>
        <w:rPr>
          <w:rFonts w:ascii="仿宋" w:hAnsi="仿宋" w:eastAsia="仿宋"/>
          <w:sz w:val="32"/>
          <w:szCs w:val="32"/>
        </w:rPr>
      </w:pPr>
      <w:r>
        <w:rPr>
          <w:rFonts w:hint="eastAsia" w:ascii="仿宋" w:hAnsi="仿宋" w:eastAsia="仿宋"/>
          <w:sz w:val="32"/>
          <w:szCs w:val="32"/>
        </w:rPr>
        <w:t>（2）按规划整治所有村民住宅；</w:t>
      </w:r>
    </w:p>
    <w:p>
      <w:pPr>
        <w:ind w:firstLine="640" w:firstLineChars="200"/>
        <w:rPr>
          <w:rFonts w:ascii="仿宋" w:hAnsi="仿宋" w:eastAsia="仿宋"/>
          <w:sz w:val="32"/>
          <w:szCs w:val="32"/>
        </w:rPr>
      </w:pPr>
      <w:r>
        <w:rPr>
          <w:rFonts w:hint="eastAsia" w:ascii="仿宋" w:hAnsi="仿宋" w:eastAsia="仿宋"/>
          <w:sz w:val="32"/>
          <w:szCs w:val="32"/>
        </w:rPr>
        <w:t>（3）建设村庄公共服务设施，设置远程教育中心、图书信息中心、活动中心、卫生室、篮球场；</w:t>
      </w:r>
    </w:p>
    <w:p>
      <w:pPr>
        <w:ind w:firstLine="640" w:firstLineChars="200"/>
        <w:rPr>
          <w:rFonts w:ascii="仿宋" w:hAnsi="仿宋" w:eastAsia="仿宋"/>
          <w:sz w:val="32"/>
          <w:szCs w:val="32"/>
        </w:rPr>
      </w:pPr>
      <w:r>
        <w:rPr>
          <w:rFonts w:hint="eastAsia" w:ascii="仿宋" w:hAnsi="仿宋" w:eastAsia="仿宋"/>
          <w:sz w:val="32"/>
          <w:szCs w:val="32"/>
        </w:rPr>
        <w:t>（4）完善村庄市政基础设施配套，设置垃圾收集点、排水沟、给水管网和电力网升级等；</w:t>
      </w:r>
    </w:p>
    <w:p>
      <w:pPr>
        <w:ind w:firstLine="640" w:firstLineChars="200"/>
        <w:rPr>
          <w:rFonts w:ascii="仿宋" w:hAnsi="仿宋" w:eastAsia="仿宋"/>
          <w:sz w:val="32"/>
          <w:szCs w:val="32"/>
        </w:rPr>
      </w:pPr>
      <w:r>
        <w:rPr>
          <w:rFonts w:hint="eastAsia" w:ascii="仿宋" w:hAnsi="仿宋" w:eastAsia="仿宋"/>
          <w:sz w:val="32"/>
          <w:szCs w:val="32"/>
        </w:rPr>
        <w:t>（5）建设木栈道、古驿道、缆车旅游接待服务中心、特色商业街、露营基地等景点。</w:t>
      </w:r>
    </w:p>
    <w:p>
      <w:pPr>
        <w:ind w:firstLine="643" w:firstLineChars="200"/>
        <w:rPr>
          <w:rFonts w:ascii="仿宋" w:hAnsi="仿宋" w:eastAsia="仿宋"/>
          <w:sz w:val="32"/>
          <w:szCs w:val="32"/>
        </w:rPr>
      </w:pPr>
      <w:r>
        <w:rPr>
          <w:rFonts w:hint="eastAsia" w:ascii="仿宋" w:hAnsi="仿宋" w:eastAsia="仿宋"/>
          <w:b/>
          <w:bCs/>
          <w:sz w:val="32"/>
          <w:szCs w:val="32"/>
        </w:rPr>
        <w:t>第三阶段：</w:t>
      </w:r>
      <w:r>
        <w:rPr>
          <w:rFonts w:hint="eastAsia" w:ascii="仿宋" w:hAnsi="仿宋" w:eastAsia="仿宋"/>
          <w:sz w:val="32"/>
          <w:szCs w:val="32"/>
        </w:rPr>
        <w:t>进一步深化村庄整治，引导新建住宅按照规划布局建设，引导集中发展高效农业，持续优化提升村庄生活生产环境质量，建设生态特色旅游名村的旅游配套设施。</w:t>
      </w:r>
    </w:p>
    <w:p>
      <w:pPr>
        <w:pStyle w:val="2"/>
        <w:numPr>
          <w:ilvl w:val="0"/>
          <w:numId w:val="1"/>
        </w:numPr>
        <w:rPr>
          <w:rFonts w:ascii="仿宋" w:hAnsi="仿宋" w:eastAsia="仿宋"/>
        </w:rPr>
      </w:pPr>
      <w:bookmarkStart w:id="23" w:name="_Toc499124861"/>
      <w:r>
        <w:rPr>
          <w:rFonts w:hint="eastAsia" w:ascii="仿宋" w:hAnsi="仿宋" w:eastAsia="仿宋"/>
        </w:rPr>
        <w:t>财务分析</w:t>
      </w:r>
      <w:bookmarkEnd w:id="23"/>
    </w:p>
    <w:p>
      <w:pPr>
        <w:pStyle w:val="3"/>
        <w:spacing w:before="0" w:after="0" w:line="360" w:lineRule="auto"/>
        <w:ind w:left="300"/>
        <w:rPr>
          <w:rFonts w:ascii="仿宋" w:hAnsi="仿宋" w:eastAsia="仿宋"/>
          <w:color w:val="000000"/>
          <w:szCs w:val="32"/>
        </w:rPr>
      </w:pPr>
      <w:bookmarkStart w:id="24" w:name="_Toc396833958"/>
      <w:bookmarkStart w:id="25" w:name="_Toc17204"/>
      <w:bookmarkStart w:id="26" w:name="_Toc499124862"/>
      <w:r>
        <w:rPr>
          <w:rFonts w:hint="eastAsia" w:ascii="仿宋" w:hAnsi="仿宋" w:eastAsia="仿宋"/>
          <w:color w:val="000000"/>
          <w:szCs w:val="32"/>
        </w:rPr>
        <w:t>5.1 经济效益分析</w:t>
      </w:r>
      <w:bookmarkEnd w:id="24"/>
      <w:bookmarkEnd w:id="25"/>
      <w:bookmarkEnd w:id="26"/>
    </w:p>
    <w:p>
      <w:pPr>
        <w:ind w:firstLine="600"/>
        <w:rPr>
          <w:rFonts w:ascii="仿宋" w:hAnsi="仿宋" w:eastAsia="仿宋" w:cs="宋体"/>
          <w:kern w:val="0"/>
          <w:sz w:val="32"/>
          <w:szCs w:val="32"/>
        </w:rPr>
      </w:pPr>
      <w:r>
        <w:rPr>
          <w:rFonts w:hint="eastAsia" w:ascii="仿宋" w:hAnsi="仿宋" w:eastAsia="仿宋"/>
          <w:sz w:val="32"/>
          <w:szCs w:val="32"/>
        </w:rPr>
        <w:t>本项目总投资</w:t>
      </w:r>
      <w:r>
        <w:rPr>
          <w:rFonts w:ascii="仿宋" w:hAnsi="仿宋" w:eastAsia="仿宋"/>
          <w:kern w:val="0"/>
          <w:sz w:val="32"/>
          <w:szCs w:val="32"/>
        </w:rPr>
        <w:t>24293.83</w:t>
      </w:r>
      <w:r>
        <w:rPr>
          <w:rFonts w:hint="eastAsia" w:ascii="仿宋" w:hAnsi="仿宋" w:eastAsia="仿宋"/>
          <w:sz w:val="32"/>
          <w:szCs w:val="32"/>
        </w:rPr>
        <w:t>元，其中：土地投入</w:t>
      </w:r>
      <w:r>
        <w:rPr>
          <w:rFonts w:ascii="仿宋" w:hAnsi="仿宋" w:eastAsia="仿宋"/>
          <w:sz w:val="32"/>
          <w:szCs w:val="32"/>
        </w:rPr>
        <w:t>12500</w:t>
      </w:r>
      <w:r>
        <w:rPr>
          <w:rFonts w:hint="eastAsia" w:ascii="仿宋" w:hAnsi="仿宋" w:eastAsia="仿宋"/>
          <w:sz w:val="32"/>
          <w:szCs w:val="32"/>
        </w:rPr>
        <w:t>万元；酒店、接待区等建筑设施投入</w:t>
      </w:r>
      <w:r>
        <w:rPr>
          <w:rFonts w:ascii="仿宋" w:hAnsi="仿宋" w:eastAsia="仿宋"/>
          <w:sz w:val="32"/>
          <w:szCs w:val="32"/>
        </w:rPr>
        <w:t>9500</w:t>
      </w:r>
      <w:r>
        <w:rPr>
          <w:rFonts w:hint="eastAsia" w:ascii="仿宋" w:hAnsi="仿宋" w:eastAsia="仿宋"/>
          <w:sz w:val="32"/>
          <w:szCs w:val="32"/>
        </w:rPr>
        <w:t>万元；酒店接待区装修费用500万元；设施设备投入1000万元，铺底流动资金投入</w:t>
      </w:r>
      <w:r>
        <w:rPr>
          <w:rFonts w:ascii="仿宋" w:hAnsi="仿宋" w:eastAsia="仿宋"/>
          <w:sz w:val="32"/>
          <w:szCs w:val="32"/>
        </w:rPr>
        <w:t>793.83</w:t>
      </w:r>
      <w:r>
        <w:rPr>
          <w:rFonts w:hint="eastAsia" w:ascii="仿宋" w:hAnsi="仿宋" w:eastAsia="仿宋"/>
          <w:sz w:val="32"/>
          <w:szCs w:val="32"/>
        </w:rPr>
        <w:t>万元。</w:t>
      </w:r>
    </w:p>
    <w:p>
      <w:pPr>
        <w:ind w:firstLine="320" w:firstLineChars="100"/>
        <w:rPr>
          <w:rFonts w:ascii="仿宋" w:hAnsi="仿宋" w:eastAsia="仿宋"/>
          <w:sz w:val="32"/>
          <w:szCs w:val="32"/>
        </w:rPr>
      </w:pPr>
      <w:r>
        <w:rPr>
          <w:rFonts w:hint="eastAsia" w:ascii="仿宋" w:hAnsi="仿宋" w:eastAsia="仿宋"/>
          <w:sz w:val="32"/>
          <w:szCs w:val="32"/>
        </w:rPr>
        <w:t>总投资估算表：</w:t>
      </w:r>
    </w:p>
    <w:tbl>
      <w:tblPr>
        <w:tblStyle w:val="21"/>
        <w:tblW w:w="82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00"/>
        <w:gridCol w:w="1417"/>
        <w:gridCol w:w="1985"/>
        <w:gridCol w:w="2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项目</w:t>
            </w:r>
          </w:p>
        </w:tc>
        <w:tc>
          <w:tcPr>
            <w:tcW w:w="1417"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资金来源</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资金使用时间</w:t>
            </w:r>
          </w:p>
        </w:tc>
        <w:tc>
          <w:tcPr>
            <w:tcW w:w="283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金额（万元）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00" w:type="dxa"/>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8"/>
              </w:rPr>
            </w:pPr>
            <w:r>
              <w:rPr>
                <w:rFonts w:hint="eastAsia" w:ascii="仿宋" w:hAnsi="仿宋" w:eastAsia="仿宋" w:cs="宋体"/>
                <w:kern w:val="0"/>
                <w:sz w:val="28"/>
              </w:rPr>
              <w:t>土地出让金</w:t>
            </w: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自筹</w:t>
            </w:r>
          </w:p>
        </w:tc>
        <w:tc>
          <w:tcPr>
            <w:tcW w:w="198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投资期</w:t>
            </w:r>
          </w:p>
        </w:tc>
        <w:tc>
          <w:tcPr>
            <w:tcW w:w="283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12500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00" w:type="dxa"/>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8"/>
              </w:rPr>
            </w:pPr>
            <w:r>
              <w:rPr>
                <w:rFonts w:hint="eastAsia" w:ascii="仿宋" w:hAnsi="仿宋" w:eastAsia="仿宋" w:cs="宋体"/>
                <w:kern w:val="0"/>
                <w:sz w:val="28"/>
              </w:rPr>
              <w:t>基建</w:t>
            </w: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自筹</w:t>
            </w:r>
          </w:p>
        </w:tc>
        <w:tc>
          <w:tcPr>
            <w:tcW w:w="198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投资期</w:t>
            </w:r>
          </w:p>
        </w:tc>
        <w:tc>
          <w:tcPr>
            <w:tcW w:w="283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 xml:space="preserve">9500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00" w:type="dxa"/>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8"/>
              </w:rPr>
            </w:pPr>
            <w:r>
              <w:rPr>
                <w:rFonts w:hint="eastAsia" w:ascii="仿宋" w:hAnsi="仿宋" w:eastAsia="仿宋" w:cs="宋体"/>
                <w:kern w:val="0"/>
                <w:sz w:val="28"/>
              </w:rPr>
              <w:t>装修</w:t>
            </w: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自筹</w:t>
            </w:r>
          </w:p>
        </w:tc>
        <w:tc>
          <w:tcPr>
            <w:tcW w:w="198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投资期</w:t>
            </w:r>
          </w:p>
        </w:tc>
        <w:tc>
          <w:tcPr>
            <w:tcW w:w="283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 xml:space="preserve">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00" w:type="dxa"/>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8"/>
              </w:rPr>
            </w:pPr>
            <w:r>
              <w:rPr>
                <w:rFonts w:hint="eastAsia" w:ascii="仿宋" w:hAnsi="仿宋" w:eastAsia="仿宋" w:cs="宋体"/>
                <w:kern w:val="0"/>
                <w:sz w:val="28"/>
              </w:rPr>
              <w:t>设备采购</w:t>
            </w: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自筹</w:t>
            </w:r>
          </w:p>
        </w:tc>
        <w:tc>
          <w:tcPr>
            <w:tcW w:w="198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投资期</w:t>
            </w:r>
          </w:p>
        </w:tc>
        <w:tc>
          <w:tcPr>
            <w:tcW w:w="283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00" w:type="dxa"/>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8"/>
              </w:rPr>
            </w:pPr>
            <w:r>
              <w:rPr>
                <w:rFonts w:hint="eastAsia" w:ascii="仿宋" w:hAnsi="仿宋" w:eastAsia="仿宋" w:cs="宋体"/>
                <w:kern w:val="0"/>
                <w:sz w:val="28"/>
              </w:rPr>
              <w:t>铺底流动资金</w:t>
            </w:r>
          </w:p>
        </w:tc>
        <w:tc>
          <w:tcPr>
            <w:tcW w:w="1417"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自筹</w:t>
            </w:r>
          </w:p>
        </w:tc>
        <w:tc>
          <w:tcPr>
            <w:tcW w:w="198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投产期</w:t>
            </w:r>
          </w:p>
        </w:tc>
        <w:tc>
          <w:tcPr>
            <w:tcW w:w="2835"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8"/>
              </w:rPr>
            </w:pPr>
            <w:r>
              <w:rPr>
                <w:rFonts w:hint="eastAsia" w:ascii="仿宋" w:hAnsi="仿宋" w:eastAsia="仿宋" w:cs="宋体"/>
                <w:kern w:val="0"/>
                <w:sz w:val="28"/>
              </w:rPr>
              <w:t xml:space="preserve">793.83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00" w:type="dxa"/>
            <w:tcBorders>
              <w:top w:val="nil"/>
              <w:left w:val="single" w:color="auto" w:sz="4" w:space="0"/>
              <w:bottom w:val="single" w:color="auto" w:sz="4" w:space="0"/>
              <w:right w:val="single" w:color="auto" w:sz="4" w:space="0"/>
            </w:tcBorders>
            <w:vAlign w:val="bottom"/>
          </w:tcPr>
          <w:p>
            <w:pPr>
              <w:widowControl/>
              <w:jc w:val="left"/>
              <w:rPr>
                <w:rFonts w:ascii="仿宋" w:hAnsi="仿宋" w:eastAsia="仿宋" w:cs="宋体"/>
                <w:kern w:val="0"/>
                <w:sz w:val="28"/>
              </w:rPr>
            </w:pPr>
            <w:r>
              <w:rPr>
                <w:rFonts w:hint="eastAsia" w:ascii="仿宋" w:hAnsi="仿宋" w:eastAsia="仿宋" w:cs="宋体"/>
                <w:kern w:val="0"/>
                <w:sz w:val="28"/>
              </w:rPr>
              <w:t>合计</w:t>
            </w:r>
          </w:p>
        </w:tc>
        <w:tc>
          <w:tcPr>
            <w:tcW w:w="1417" w:type="dxa"/>
            <w:tcBorders>
              <w:top w:val="nil"/>
              <w:left w:val="nil"/>
              <w:bottom w:val="single" w:color="auto" w:sz="4" w:space="0"/>
              <w:right w:val="single" w:color="auto" w:sz="4" w:space="0"/>
            </w:tcBorders>
            <w:vAlign w:val="bottom"/>
          </w:tcPr>
          <w:p>
            <w:pPr>
              <w:widowControl/>
              <w:jc w:val="left"/>
              <w:rPr>
                <w:rFonts w:ascii="仿宋" w:hAnsi="仿宋" w:eastAsia="仿宋" w:cs="宋体"/>
                <w:kern w:val="0"/>
                <w:sz w:val="28"/>
              </w:rPr>
            </w:pPr>
            <w:r>
              <w:rPr>
                <w:rFonts w:hint="eastAsia" w:ascii="仿宋" w:hAnsi="仿宋" w:eastAsia="仿宋" w:cs="宋体"/>
                <w:kern w:val="0"/>
                <w:sz w:val="28"/>
              </w:rPr>
              <w:t>　</w:t>
            </w:r>
          </w:p>
        </w:tc>
        <w:tc>
          <w:tcPr>
            <w:tcW w:w="1985" w:type="dxa"/>
            <w:tcBorders>
              <w:top w:val="nil"/>
              <w:left w:val="nil"/>
              <w:bottom w:val="single" w:color="auto" w:sz="4" w:space="0"/>
              <w:right w:val="single" w:color="auto" w:sz="4" w:space="0"/>
            </w:tcBorders>
            <w:vAlign w:val="bottom"/>
          </w:tcPr>
          <w:p>
            <w:pPr>
              <w:widowControl/>
              <w:jc w:val="left"/>
              <w:rPr>
                <w:rFonts w:ascii="仿宋" w:hAnsi="仿宋" w:eastAsia="仿宋" w:cs="宋体"/>
                <w:kern w:val="0"/>
                <w:sz w:val="28"/>
              </w:rPr>
            </w:pPr>
            <w:r>
              <w:rPr>
                <w:rFonts w:hint="eastAsia" w:ascii="仿宋" w:hAnsi="仿宋" w:eastAsia="仿宋" w:cs="宋体"/>
                <w:kern w:val="0"/>
                <w:sz w:val="28"/>
              </w:rPr>
              <w:t>　</w:t>
            </w:r>
          </w:p>
        </w:tc>
        <w:tc>
          <w:tcPr>
            <w:tcW w:w="2835"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28"/>
              </w:rPr>
            </w:pPr>
            <w:r>
              <w:rPr>
                <w:rFonts w:hint="eastAsia" w:ascii="仿宋" w:hAnsi="仿宋" w:eastAsia="仿宋" w:cs="宋体"/>
                <w:kern w:val="0"/>
                <w:sz w:val="28"/>
              </w:rPr>
              <w:t xml:space="preserve">24293.83 </w:t>
            </w:r>
          </w:p>
        </w:tc>
      </w:tr>
    </w:tbl>
    <w:p>
      <w:pPr>
        <w:rPr>
          <w:rFonts w:ascii="仿宋" w:hAnsi="仿宋" w:eastAsia="仿宋"/>
          <w:sz w:val="32"/>
          <w:szCs w:val="32"/>
        </w:rPr>
      </w:pPr>
    </w:p>
    <w:p>
      <w:pPr>
        <w:ind w:firstLine="602"/>
        <w:rPr>
          <w:rFonts w:ascii="仿宋" w:hAnsi="仿宋" w:eastAsia="仿宋"/>
          <w:b/>
          <w:sz w:val="32"/>
          <w:szCs w:val="32"/>
        </w:rPr>
      </w:pPr>
      <w:r>
        <w:rPr>
          <w:rFonts w:hint="eastAsia" w:ascii="仿宋" w:hAnsi="仿宋" w:eastAsia="仿宋"/>
          <w:b/>
          <w:sz w:val="32"/>
          <w:szCs w:val="32"/>
        </w:rPr>
        <w:t>收入预算</w:t>
      </w:r>
    </w:p>
    <w:p>
      <w:pPr>
        <w:ind w:firstLine="600"/>
        <w:rPr>
          <w:rFonts w:ascii="仿宋" w:hAnsi="仿宋" w:eastAsia="仿宋"/>
          <w:sz w:val="32"/>
          <w:szCs w:val="32"/>
        </w:rPr>
      </w:pPr>
      <w:r>
        <w:rPr>
          <w:rFonts w:hint="eastAsia" w:ascii="仿宋" w:hAnsi="仿宋" w:eastAsia="仿宋"/>
          <w:sz w:val="32"/>
          <w:szCs w:val="32"/>
        </w:rPr>
        <w:t>本项目的收益为：承租管理收入。</w:t>
      </w:r>
    </w:p>
    <w:p>
      <w:pPr>
        <w:ind w:firstLine="600"/>
        <w:rPr>
          <w:rFonts w:ascii="仿宋" w:hAnsi="仿宋" w:eastAsia="仿宋"/>
          <w:sz w:val="32"/>
          <w:szCs w:val="32"/>
        </w:rPr>
      </w:pPr>
      <w:r>
        <w:rPr>
          <w:rFonts w:hint="eastAsia" w:ascii="仿宋" w:hAnsi="仿宋" w:eastAsia="仿宋"/>
          <w:sz w:val="32"/>
          <w:szCs w:val="32"/>
        </w:rPr>
        <w:t>为了降低项目风险，按照最低的收益方式进行运营，即：所有的经营项目均委托专业团队经营，投资方收取管理费（含设施使用费和物业管理费），运营成本由经营者自行承担。接待中心、星级酒店、停车场等收取的管理费每年10000万元。</w:t>
      </w:r>
    </w:p>
    <w:p>
      <w:pPr>
        <w:ind w:firstLine="600"/>
        <w:rPr>
          <w:rFonts w:ascii="仿宋" w:hAnsi="仿宋" w:eastAsia="仿宋"/>
          <w:sz w:val="32"/>
          <w:szCs w:val="32"/>
        </w:rPr>
      </w:pPr>
      <w:r>
        <w:rPr>
          <w:rFonts w:hint="eastAsia" w:ascii="仿宋" w:hAnsi="仿宋" w:eastAsia="仿宋"/>
          <w:sz w:val="32"/>
          <w:szCs w:val="32"/>
        </w:rPr>
        <w:t>项目全部建成后，第一年达到产能的60%，第二年达到产能的80%，第三年达产。达产年可实现销售收入10000万元。</w:t>
      </w:r>
    </w:p>
    <w:p>
      <w:pPr>
        <w:ind w:firstLine="600"/>
        <w:rPr>
          <w:rFonts w:ascii="仿宋" w:hAnsi="仿宋" w:eastAsia="仿宋"/>
          <w:sz w:val="32"/>
          <w:szCs w:val="32"/>
        </w:rPr>
      </w:pPr>
    </w:p>
    <w:p>
      <w:pPr>
        <w:ind w:firstLine="602"/>
        <w:rPr>
          <w:rFonts w:ascii="仿宋" w:hAnsi="仿宋" w:eastAsia="仿宋"/>
          <w:b/>
          <w:sz w:val="32"/>
          <w:szCs w:val="32"/>
        </w:rPr>
      </w:pPr>
      <w:r>
        <w:rPr>
          <w:rFonts w:hint="eastAsia" w:ascii="仿宋" w:hAnsi="仿宋" w:eastAsia="仿宋"/>
          <w:b/>
          <w:sz w:val="32"/>
          <w:szCs w:val="32"/>
        </w:rPr>
        <w:t>成本费用预算</w:t>
      </w:r>
    </w:p>
    <w:p>
      <w:pPr>
        <w:ind w:firstLine="600"/>
        <w:rPr>
          <w:rFonts w:ascii="仿宋" w:hAnsi="仿宋" w:eastAsia="仿宋"/>
          <w:sz w:val="32"/>
          <w:szCs w:val="32"/>
        </w:rPr>
      </w:pPr>
      <w:r>
        <w:rPr>
          <w:rFonts w:hint="eastAsia" w:ascii="仿宋" w:hAnsi="仿宋" w:eastAsia="仿宋"/>
          <w:sz w:val="32"/>
          <w:szCs w:val="32"/>
        </w:rPr>
        <w:t>本项目达产年总成本</w:t>
      </w:r>
      <w:r>
        <w:rPr>
          <w:rFonts w:ascii="仿宋" w:hAnsi="仿宋" w:eastAsia="仿宋"/>
          <w:sz w:val="32"/>
          <w:szCs w:val="32"/>
        </w:rPr>
        <w:t>1908.84</w:t>
      </w:r>
      <w:r>
        <w:rPr>
          <w:rFonts w:hint="eastAsia" w:ascii="仿宋" w:hAnsi="仿宋" w:eastAsia="仿宋"/>
          <w:sz w:val="32"/>
          <w:szCs w:val="32"/>
        </w:rPr>
        <w:t>万元，年固定成本</w:t>
      </w:r>
      <w:r>
        <w:rPr>
          <w:rFonts w:ascii="仿宋" w:hAnsi="仿宋" w:eastAsia="仿宋"/>
          <w:sz w:val="32"/>
          <w:szCs w:val="32"/>
        </w:rPr>
        <w:t>1553.84</w:t>
      </w:r>
      <w:r>
        <w:rPr>
          <w:rFonts w:hint="eastAsia" w:ascii="仿宋" w:hAnsi="仿宋" w:eastAsia="仿宋"/>
          <w:sz w:val="32"/>
          <w:szCs w:val="32"/>
        </w:rPr>
        <w:t>万元，年变动成本</w:t>
      </w:r>
      <w:r>
        <w:rPr>
          <w:rFonts w:ascii="仿宋" w:hAnsi="仿宋" w:eastAsia="仿宋"/>
          <w:sz w:val="32"/>
          <w:szCs w:val="32"/>
        </w:rPr>
        <w:t>355</w:t>
      </w:r>
      <w:r>
        <w:rPr>
          <w:rFonts w:hint="eastAsia" w:ascii="仿宋" w:hAnsi="仿宋" w:eastAsia="仿宋"/>
          <w:sz w:val="32"/>
          <w:szCs w:val="32"/>
        </w:rPr>
        <w:t>万元。其中：</w:t>
      </w:r>
    </w:p>
    <w:p>
      <w:pPr>
        <w:ind w:firstLine="600"/>
        <w:rPr>
          <w:rFonts w:ascii="仿宋" w:hAnsi="仿宋" w:eastAsia="仿宋"/>
          <w:sz w:val="32"/>
          <w:szCs w:val="32"/>
        </w:rPr>
      </w:pPr>
      <w:r>
        <w:rPr>
          <w:rFonts w:hint="eastAsia" w:ascii="仿宋" w:hAnsi="仿宋" w:eastAsia="仿宋"/>
          <w:sz w:val="32"/>
          <w:szCs w:val="32"/>
        </w:rPr>
        <w:t>直接人工：直接参与运营团队200人，每人按3万元/年计算第一年直接人工工资合计600万元，以后每年按</w:t>
      </w:r>
      <w:r>
        <w:rPr>
          <w:rFonts w:ascii="仿宋" w:hAnsi="仿宋" w:eastAsia="仿宋"/>
          <w:sz w:val="32"/>
          <w:szCs w:val="32"/>
        </w:rPr>
        <w:t>3%</w:t>
      </w:r>
      <w:r>
        <w:rPr>
          <w:rFonts w:hint="eastAsia" w:ascii="仿宋" w:hAnsi="仿宋" w:eastAsia="仿宋"/>
          <w:sz w:val="32"/>
          <w:szCs w:val="32"/>
        </w:rPr>
        <w:t>递增。</w:t>
      </w:r>
    </w:p>
    <w:p>
      <w:pPr>
        <w:ind w:firstLine="600"/>
        <w:rPr>
          <w:rFonts w:ascii="仿宋" w:hAnsi="仿宋" w:eastAsia="仿宋"/>
          <w:sz w:val="32"/>
          <w:szCs w:val="32"/>
        </w:rPr>
      </w:pPr>
      <w:r>
        <w:rPr>
          <w:rFonts w:hint="eastAsia" w:ascii="仿宋" w:hAnsi="仿宋" w:eastAsia="仿宋"/>
          <w:sz w:val="32"/>
          <w:szCs w:val="32"/>
        </w:rPr>
        <w:t>制造费用：</w:t>
      </w:r>
    </w:p>
    <w:p>
      <w:pPr>
        <w:ind w:firstLine="600"/>
        <w:rPr>
          <w:rFonts w:ascii="仿宋" w:hAnsi="仿宋" w:eastAsia="仿宋"/>
          <w:sz w:val="32"/>
          <w:szCs w:val="32"/>
        </w:rPr>
      </w:pPr>
      <w:r>
        <w:rPr>
          <w:rFonts w:hint="eastAsia" w:ascii="仿宋" w:hAnsi="仿宋" w:eastAsia="仿宋"/>
          <w:sz w:val="32"/>
          <w:szCs w:val="32"/>
        </w:rPr>
        <w:t>（1）折旧及摊销：本项目固定资产折旧方法采用平均年限法，净残值为原值的4%。基建类折旧年限20年；设备类折旧年限10年；自有房大装修费用折旧年限为</w:t>
      </w:r>
      <w:r>
        <w:rPr>
          <w:rFonts w:ascii="仿宋" w:hAnsi="仿宋" w:eastAsia="仿宋"/>
          <w:sz w:val="32"/>
          <w:szCs w:val="32"/>
        </w:rPr>
        <w:t>5</w:t>
      </w:r>
      <w:r>
        <w:rPr>
          <w:rFonts w:hint="eastAsia" w:ascii="仿宋" w:hAnsi="仿宋" w:eastAsia="仿宋"/>
          <w:sz w:val="32"/>
          <w:szCs w:val="32"/>
        </w:rPr>
        <w:t>年，预计每五年装修翻新一次；无形资产无残值，摊销年限为50年。资产折旧及摊销费用合计为826万元。</w:t>
      </w:r>
    </w:p>
    <w:p>
      <w:pPr>
        <w:ind w:firstLine="600"/>
        <w:rPr>
          <w:rFonts w:ascii="仿宋" w:hAnsi="仿宋" w:eastAsia="仿宋"/>
          <w:sz w:val="32"/>
          <w:szCs w:val="32"/>
        </w:rPr>
      </w:pPr>
      <w:r>
        <w:rPr>
          <w:rFonts w:hint="eastAsia" w:ascii="仿宋" w:hAnsi="仿宋" w:eastAsia="仿宋"/>
          <w:sz w:val="32"/>
          <w:szCs w:val="32"/>
        </w:rPr>
        <w:t>详见附表1：资产折旧及摊销估算表</w:t>
      </w:r>
    </w:p>
    <w:p>
      <w:pPr>
        <w:ind w:firstLine="600"/>
        <w:rPr>
          <w:rFonts w:ascii="仿宋" w:hAnsi="仿宋" w:eastAsia="仿宋"/>
          <w:sz w:val="32"/>
          <w:szCs w:val="32"/>
        </w:rPr>
      </w:pPr>
      <w:r>
        <w:rPr>
          <w:rFonts w:hint="eastAsia" w:ascii="仿宋" w:hAnsi="仿宋" w:eastAsia="仿宋"/>
          <w:sz w:val="32"/>
          <w:szCs w:val="32"/>
        </w:rPr>
        <w:t>（2）修理费用：按资产折旧及摊销费用的5%计为</w:t>
      </w:r>
      <w:r>
        <w:rPr>
          <w:rFonts w:ascii="仿宋" w:hAnsi="仿宋" w:eastAsia="仿宋"/>
          <w:sz w:val="32"/>
          <w:szCs w:val="32"/>
        </w:rPr>
        <w:t>41.30</w:t>
      </w:r>
      <w:r>
        <w:rPr>
          <w:rFonts w:hint="eastAsia" w:ascii="仿宋" w:hAnsi="仿宋" w:eastAsia="仿宋"/>
          <w:sz w:val="32"/>
          <w:szCs w:val="32"/>
        </w:rPr>
        <w:t>万元。</w:t>
      </w:r>
    </w:p>
    <w:p>
      <w:pPr>
        <w:ind w:firstLine="600"/>
        <w:rPr>
          <w:rFonts w:ascii="仿宋" w:hAnsi="仿宋" w:eastAsia="仿宋"/>
          <w:sz w:val="32"/>
          <w:szCs w:val="32"/>
        </w:rPr>
      </w:pPr>
      <w:r>
        <w:rPr>
          <w:rFonts w:hint="eastAsia" w:ascii="仿宋" w:hAnsi="仿宋" w:eastAsia="仿宋"/>
          <w:sz w:val="32"/>
          <w:szCs w:val="32"/>
        </w:rPr>
        <w:t>（3）燃料及动力：据预算，年度水电消耗155万元。</w:t>
      </w:r>
    </w:p>
    <w:p>
      <w:pPr>
        <w:ind w:firstLine="600"/>
        <w:rPr>
          <w:rFonts w:ascii="仿宋" w:hAnsi="仿宋" w:eastAsia="仿宋"/>
          <w:sz w:val="32"/>
          <w:szCs w:val="32"/>
        </w:rPr>
      </w:pPr>
      <w:r>
        <w:rPr>
          <w:rFonts w:hint="eastAsia" w:ascii="仿宋" w:hAnsi="仿宋" w:eastAsia="仿宋"/>
          <w:sz w:val="32"/>
          <w:szCs w:val="32"/>
        </w:rPr>
        <w:t>管理费用：项目每年固定发生50万元的基础上，期间管理费用按收入的1%计提为100万元。达产年管理费用：150万元。</w:t>
      </w:r>
    </w:p>
    <w:p>
      <w:pPr>
        <w:ind w:firstLine="600"/>
        <w:rPr>
          <w:rFonts w:ascii="仿宋" w:hAnsi="仿宋" w:eastAsia="仿宋"/>
          <w:sz w:val="32"/>
          <w:szCs w:val="32"/>
        </w:rPr>
      </w:pPr>
      <w:r>
        <w:rPr>
          <w:rFonts w:hint="eastAsia" w:ascii="仿宋" w:hAnsi="仿宋" w:eastAsia="仿宋"/>
          <w:sz w:val="32"/>
          <w:szCs w:val="32"/>
        </w:rPr>
        <w:t>销售费用：项目期间销售费用按收入的1%计提为100万元。</w:t>
      </w:r>
    </w:p>
    <w:p>
      <w:pPr>
        <w:ind w:firstLine="600"/>
        <w:rPr>
          <w:rFonts w:ascii="仿宋" w:hAnsi="仿宋" w:eastAsia="仿宋"/>
          <w:sz w:val="32"/>
          <w:szCs w:val="32"/>
        </w:rPr>
      </w:pPr>
      <w:r>
        <w:rPr>
          <w:rFonts w:hint="eastAsia" w:ascii="仿宋" w:hAnsi="仿宋" w:eastAsia="仿宋"/>
          <w:sz w:val="32"/>
          <w:szCs w:val="32"/>
        </w:rPr>
        <w:t>详见附表2：成本及费用估算表。</w:t>
      </w:r>
    </w:p>
    <w:p>
      <w:pPr>
        <w:ind w:firstLine="602"/>
        <w:rPr>
          <w:rFonts w:ascii="仿宋" w:hAnsi="仿宋" w:eastAsia="仿宋"/>
          <w:b/>
          <w:sz w:val="32"/>
          <w:szCs w:val="32"/>
        </w:rPr>
      </w:pPr>
      <w:r>
        <w:rPr>
          <w:rFonts w:hint="eastAsia" w:ascii="仿宋" w:hAnsi="仿宋" w:eastAsia="仿宋"/>
          <w:b/>
          <w:sz w:val="32"/>
          <w:szCs w:val="32"/>
        </w:rPr>
        <w:t>税金预算</w:t>
      </w:r>
    </w:p>
    <w:p>
      <w:pPr>
        <w:spacing w:afterLines="50"/>
        <w:ind w:firstLine="600"/>
        <w:rPr>
          <w:rFonts w:ascii="仿宋" w:hAnsi="仿宋" w:eastAsia="仿宋"/>
          <w:sz w:val="32"/>
          <w:szCs w:val="32"/>
        </w:rPr>
      </w:pPr>
      <w:r>
        <w:rPr>
          <w:rFonts w:hint="eastAsia" w:ascii="仿宋" w:hAnsi="仿宋" w:eastAsia="仿宋"/>
          <w:sz w:val="32"/>
          <w:szCs w:val="32"/>
        </w:rPr>
        <w:t>税金包括：营业税（税率5%）、城市维护建设税（税率为上交营业税的7%）和教育费附加（税率为上交营业税的3%）。</w:t>
      </w:r>
    </w:p>
    <w:tbl>
      <w:tblPr>
        <w:tblStyle w:val="2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814"/>
        <w:gridCol w:w="1815"/>
        <w:gridCol w:w="1814"/>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32"/>
                <w:szCs w:val="32"/>
              </w:rPr>
            </w:pPr>
            <w:r>
              <w:rPr>
                <w:rFonts w:hint="eastAsia" w:ascii="仿宋" w:hAnsi="仿宋" w:eastAsia="仿宋"/>
                <w:sz w:val="32"/>
                <w:szCs w:val="32"/>
              </w:rPr>
              <w:t>税金项目</w:t>
            </w:r>
          </w:p>
        </w:tc>
        <w:tc>
          <w:tcPr>
            <w:tcW w:w="181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32"/>
                <w:szCs w:val="32"/>
              </w:rPr>
            </w:pPr>
            <w:r>
              <w:rPr>
                <w:rFonts w:hint="eastAsia" w:ascii="仿宋" w:hAnsi="仿宋" w:eastAsia="仿宋"/>
                <w:sz w:val="32"/>
                <w:szCs w:val="32"/>
              </w:rPr>
              <w:t>营业税</w:t>
            </w:r>
          </w:p>
        </w:tc>
        <w:tc>
          <w:tcPr>
            <w:tcW w:w="181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32"/>
                <w:szCs w:val="32"/>
              </w:rPr>
            </w:pPr>
            <w:r>
              <w:rPr>
                <w:rFonts w:hint="eastAsia" w:ascii="仿宋" w:hAnsi="仿宋" w:eastAsia="仿宋"/>
                <w:sz w:val="32"/>
                <w:szCs w:val="32"/>
              </w:rPr>
              <w:t>城建税</w:t>
            </w:r>
          </w:p>
        </w:tc>
        <w:tc>
          <w:tcPr>
            <w:tcW w:w="181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32"/>
                <w:szCs w:val="32"/>
              </w:rPr>
            </w:pPr>
            <w:r>
              <w:rPr>
                <w:rFonts w:hint="eastAsia" w:ascii="仿宋" w:hAnsi="仿宋" w:eastAsia="仿宋"/>
                <w:sz w:val="32"/>
                <w:szCs w:val="32"/>
              </w:rPr>
              <w:t>教育附加</w:t>
            </w:r>
          </w:p>
        </w:tc>
        <w:tc>
          <w:tcPr>
            <w:tcW w:w="181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32"/>
                <w:szCs w:val="32"/>
              </w:rPr>
            </w:pPr>
            <w:r>
              <w:rPr>
                <w:rFonts w:hint="eastAsia" w:ascii="仿宋" w:hAnsi="仿宋" w:eastAsia="仿宋"/>
                <w:sz w:val="32"/>
                <w:szCs w:val="32"/>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32"/>
                <w:szCs w:val="32"/>
              </w:rPr>
            </w:pPr>
            <w:r>
              <w:rPr>
                <w:rFonts w:hint="eastAsia" w:ascii="仿宋" w:hAnsi="仿宋" w:eastAsia="仿宋"/>
                <w:sz w:val="32"/>
                <w:szCs w:val="32"/>
              </w:rPr>
              <w:t>达产年（万元）</w:t>
            </w:r>
          </w:p>
        </w:tc>
        <w:tc>
          <w:tcPr>
            <w:tcW w:w="181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32"/>
                <w:szCs w:val="32"/>
              </w:rPr>
            </w:pPr>
            <w:r>
              <w:rPr>
                <w:rFonts w:hint="eastAsia" w:ascii="仿宋" w:hAnsi="仿宋" w:eastAsia="仿宋"/>
                <w:sz w:val="32"/>
                <w:szCs w:val="32"/>
              </w:rPr>
              <w:t>500</w:t>
            </w:r>
          </w:p>
        </w:tc>
        <w:tc>
          <w:tcPr>
            <w:tcW w:w="181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32"/>
                <w:szCs w:val="32"/>
              </w:rPr>
            </w:pPr>
            <w:r>
              <w:rPr>
                <w:rFonts w:hint="eastAsia" w:ascii="仿宋" w:hAnsi="仿宋" w:eastAsia="仿宋"/>
                <w:sz w:val="32"/>
                <w:szCs w:val="32"/>
              </w:rPr>
              <w:t>35</w:t>
            </w:r>
          </w:p>
        </w:tc>
        <w:tc>
          <w:tcPr>
            <w:tcW w:w="181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32"/>
                <w:szCs w:val="32"/>
              </w:rPr>
            </w:pPr>
            <w:r>
              <w:rPr>
                <w:rFonts w:hint="eastAsia" w:ascii="仿宋" w:hAnsi="仿宋" w:eastAsia="仿宋"/>
                <w:sz w:val="32"/>
                <w:szCs w:val="32"/>
              </w:rPr>
              <w:t>15</w:t>
            </w:r>
          </w:p>
        </w:tc>
        <w:tc>
          <w:tcPr>
            <w:tcW w:w="181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32"/>
                <w:szCs w:val="32"/>
              </w:rPr>
            </w:pPr>
            <w:r>
              <w:rPr>
                <w:rFonts w:hint="eastAsia" w:ascii="仿宋" w:hAnsi="仿宋" w:eastAsia="仿宋"/>
                <w:sz w:val="32"/>
                <w:szCs w:val="32"/>
              </w:rPr>
              <w:t>550</w:t>
            </w:r>
          </w:p>
        </w:tc>
      </w:tr>
    </w:tbl>
    <w:p>
      <w:pPr>
        <w:spacing w:beforeLines="50"/>
        <w:ind w:firstLine="600"/>
        <w:rPr>
          <w:rFonts w:ascii="仿宋" w:hAnsi="仿宋" w:eastAsia="仿宋"/>
          <w:sz w:val="32"/>
          <w:szCs w:val="32"/>
        </w:rPr>
      </w:pPr>
      <w:r>
        <w:rPr>
          <w:rFonts w:hint="eastAsia" w:ascii="仿宋" w:hAnsi="仿宋" w:eastAsia="仿宋"/>
          <w:sz w:val="32"/>
          <w:szCs w:val="32"/>
        </w:rPr>
        <w:t>详见附表5：税金及附加估算表。</w:t>
      </w:r>
    </w:p>
    <w:p>
      <w:pPr>
        <w:ind w:firstLine="602"/>
        <w:rPr>
          <w:rFonts w:ascii="仿宋" w:hAnsi="仿宋" w:eastAsia="仿宋"/>
          <w:b/>
          <w:sz w:val="32"/>
          <w:szCs w:val="32"/>
        </w:rPr>
      </w:pPr>
      <w:r>
        <w:rPr>
          <w:rFonts w:hint="eastAsia" w:ascii="仿宋" w:hAnsi="仿宋" w:eastAsia="仿宋"/>
          <w:b/>
          <w:sz w:val="32"/>
          <w:szCs w:val="32"/>
        </w:rPr>
        <w:t>利润预算</w:t>
      </w:r>
    </w:p>
    <w:p>
      <w:pPr>
        <w:ind w:firstLine="600"/>
        <w:rPr>
          <w:rFonts w:ascii="仿宋" w:hAnsi="仿宋" w:eastAsia="仿宋"/>
          <w:sz w:val="32"/>
          <w:szCs w:val="32"/>
        </w:rPr>
      </w:pPr>
      <w:r>
        <w:rPr>
          <w:rFonts w:hint="eastAsia" w:ascii="仿宋" w:hAnsi="仿宋" w:eastAsia="仿宋"/>
          <w:sz w:val="32"/>
          <w:szCs w:val="32"/>
        </w:rPr>
        <w:t>本项目达产年预期年收入10000万元，年营业税金及附加5</w:t>
      </w:r>
      <w:r>
        <w:rPr>
          <w:rFonts w:ascii="仿宋" w:hAnsi="仿宋" w:eastAsia="仿宋"/>
          <w:sz w:val="32"/>
          <w:szCs w:val="32"/>
        </w:rPr>
        <w:t>50</w:t>
      </w:r>
      <w:r>
        <w:rPr>
          <w:rFonts w:hint="eastAsia" w:ascii="仿宋" w:hAnsi="仿宋" w:eastAsia="仿宋"/>
          <w:sz w:val="32"/>
          <w:szCs w:val="32"/>
        </w:rPr>
        <w:t>万元，年所得税（税率25%）</w:t>
      </w:r>
      <w:r>
        <w:rPr>
          <w:rFonts w:ascii="仿宋" w:hAnsi="仿宋" w:eastAsia="仿宋"/>
          <w:sz w:val="32"/>
          <w:szCs w:val="32"/>
        </w:rPr>
        <w:t>1885.29</w:t>
      </w:r>
      <w:r>
        <w:rPr>
          <w:rFonts w:hint="eastAsia" w:ascii="仿宋" w:hAnsi="仿宋" w:eastAsia="仿宋"/>
          <w:sz w:val="32"/>
          <w:szCs w:val="32"/>
        </w:rPr>
        <w:t>万元，年净利润</w:t>
      </w:r>
      <w:r>
        <w:rPr>
          <w:rFonts w:ascii="仿宋" w:hAnsi="仿宋" w:eastAsia="仿宋"/>
          <w:sz w:val="32"/>
          <w:szCs w:val="32"/>
        </w:rPr>
        <w:t>5655.87</w:t>
      </w:r>
      <w:r>
        <w:rPr>
          <w:rFonts w:hint="eastAsia" w:ascii="仿宋" w:hAnsi="仿宋" w:eastAsia="仿宋"/>
          <w:sz w:val="32"/>
          <w:szCs w:val="32"/>
        </w:rPr>
        <w:t>万元。</w:t>
      </w:r>
    </w:p>
    <w:p>
      <w:pPr>
        <w:ind w:firstLine="600"/>
        <w:rPr>
          <w:rFonts w:ascii="仿宋" w:hAnsi="仿宋" w:eastAsia="仿宋"/>
          <w:sz w:val="32"/>
          <w:szCs w:val="32"/>
        </w:rPr>
      </w:pPr>
      <w:r>
        <w:rPr>
          <w:rFonts w:hint="eastAsia" w:ascii="仿宋" w:hAnsi="仿宋" w:eastAsia="仿宋"/>
          <w:sz w:val="32"/>
          <w:szCs w:val="32"/>
        </w:rPr>
        <w:t>详见附表6：利润估算表。</w:t>
      </w:r>
    </w:p>
    <w:p>
      <w:pPr>
        <w:pStyle w:val="3"/>
        <w:rPr>
          <w:rFonts w:ascii="仿宋" w:hAnsi="仿宋" w:eastAsia="仿宋"/>
        </w:rPr>
      </w:pPr>
      <w:bookmarkStart w:id="27" w:name="_Toc398136280"/>
      <w:bookmarkStart w:id="28" w:name="_Toc499124863"/>
      <w:r>
        <w:rPr>
          <w:rFonts w:hint="eastAsia" w:ascii="仿宋" w:hAnsi="仿宋" w:eastAsia="仿宋"/>
        </w:rPr>
        <w:t>5.2 财务评价</w:t>
      </w:r>
      <w:bookmarkEnd w:id="27"/>
      <w:bookmarkEnd w:id="28"/>
    </w:p>
    <w:p>
      <w:pPr>
        <w:pStyle w:val="3"/>
        <w:rPr>
          <w:rFonts w:ascii="仿宋" w:hAnsi="仿宋" w:eastAsia="仿宋"/>
        </w:rPr>
      </w:pPr>
      <w:bookmarkStart w:id="29" w:name="_Toc398136281"/>
      <w:bookmarkStart w:id="30" w:name="_Toc499124864"/>
      <w:r>
        <w:rPr>
          <w:rFonts w:hint="eastAsia" w:ascii="仿宋" w:hAnsi="仿宋" w:eastAsia="仿宋"/>
        </w:rPr>
        <w:t>5.2.1 盈利能力评价</w:t>
      </w:r>
      <w:bookmarkEnd w:id="29"/>
      <w:bookmarkEnd w:id="30"/>
    </w:p>
    <w:p>
      <w:pPr>
        <w:ind w:firstLine="602"/>
        <w:rPr>
          <w:rFonts w:ascii="仿宋" w:hAnsi="仿宋" w:eastAsia="仿宋"/>
          <w:b/>
          <w:sz w:val="32"/>
          <w:szCs w:val="32"/>
        </w:rPr>
      </w:pPr>
      <w:r>
        <w:rPr>
          <w:rFonts w:hint="eastAsia" w:ascii="仿宋" w:hAnsi="仿宋" w:eastAsia="仿宋"/>
          <w:b/>
          <w:sz w:val="32"/>
          <w:szCs w:val="32"/>
        </w:rPr>
        <w:t>净现值(NPV)</w:t>
      </w:r>
    </w:p>
    <w:p>
      <w:pPr>
        <w:ind w:firstLine="600"/>
        <w:rPr>
          <w:rFonts w:ascii="仿宋" w:hAnsi="仿宋" w:eastAsia="仿宋"/>
          <w:sz w:val="32"/>
          <w:szCs w:val="32"/>
        </w:rPr>
      </w:pPr>
      <w:r>
        <w:rPr>
          <w:rFonts w:hint="eastAsia" w:ascii="仿宋" w:hAnsi="仿宋" w:eastAsia="仿宋"/>
          <w:sz w:val="32"/>
          <w:szCs w:val="32"/>
        </w:rPr>
        <w:t>按照折现率i=12%，净现值</w:t>
      </w:r>
      <w:r>
        <w:rPr>
          <w:rFonts w:ascii="仿宋" w:hAnsi="仿宋" w:eastAsia="仿宋"/>
          <w:sz w:val="32"/>
          <w:szCs w:val="32"/>
        </w:rPr>
        <w:t>8688.73</w:t>
      </w:r>
      <w:r>
        <w:rPr>
          <w:rFonts w:hint="eastAsia" w:ascii="仿宋" w:hAnsi="仿宋" w:eastAsia="仿宋"/>
          <w:sz w:val="32"/>
          <w:szCs w:val="32"/>
        </w:rPr>
        <w:t>万元 &gt; 0。</w:t>
      </w:r>
    </w:p>
    <w:p>
      <w:pPr>
        <w:ind w:firstLine="602"/>
        <w:rPr>
          <w:rFonts w:ascii="仿宋" w:hAnsi="仿宋" w:eastAsia="仿宋"/>
          <w:b/>
          <w:sz w:val="32"/>
          <w:szCs w:val="32"/>
        </w:rPr>
      </w:pPr>
      <w:r>
        <w:rPr>
          <w:rFonts w:hint="eastAsia" w:ascii="仿宋" w:hAnsi="仿宋" w:eastAsia="仿宋"/>
          <w:b/>
          <w:sz w:val="32"/>
          <w:szCs w:val="32"/>
        </w:rPr>
        <w:t>内含报酬率(IRR)</w:t>
      </w:r>
    </w:p>
    <w:p>
      <w:pPr>
        <w:ind w:firstLine="600"/>
        <w:rPr>
          <w:rFonts w:ascii="仿宋" w:hAnsi="仿宋" w:eastAsia="仿宋"/>
          <w:sz w:val="32"/>
          <w:szCs w:val="32"/>
        </w:rPr>
      </w:pPr>
      <w:r>
        <w:rPr>
          <w:rFonts w:hint="eastAsia" w:ascii="仿宋" w:hAnsi="仿宋" w:eastAsia="仿宋"/>
          <w:sz w:val="32"/>
          <w:szCs w:val="32"/>
        </w:rPr>
        <w:t>经测算本项目内部收益率为</w:t>
      </w:r>
      <w:r>
        <w:rPr>
          <w:rFonts w:ascii="仿宋" w:hAnsi="仿宋" w:eastAsia="仿宋"/>
          <w:sz w:val="32"/>
          <w:szCs w:val="32"/>
        </w:rPr>
        <w:t>19.54 %</w:t>
      </w:r>
      <w:r>
        <w:rPr>
          <w:rFonts w:hint="eastAsia" w:ascii="仿宋" w:hAnsi="仿宋" w:eastAsia="仿宋"/>
          <w:sz w:val="32"/>
          <w:szCs w:val="32"/>
        </w:rPr>
        <w:t xml:space="preserve"> &gt; 12%。</w:t>
      </w:r>
    </w:p>
    <w:p>
      <w:pPr>
        <w:ind w:firstLine="602"/>
        <w:rPr>
          <w:rFonts w:ascii="仿宋" w:hAnsi="仿宋" w:eastAsia="仿宋"/>
          <w:b/>
          <w:sz w:val="32"/>
          <w:szCs w:val="32"/>
        </w:rPr>
      </w:pPr>
      <w:r>
        <w:rPr>
          <w:rFonts w:hint="eastAsia" w:ascii="仿宋" w:hAnsi="仿宋" w:eastAsia="仿宋"/>
          <w:b/>
          <w:sz w:val="32"/>
          <w:szCs w:val="32"/>
        </w:rPr>
        <w:t>现值指数（PVI）</w:t>
      </w:r>
    </w:p>
    <w:p>
      <w:pPr>
        <w:ind w:firstLine="600"/>
        <w:rPr>
          <w:rFonts w:ascii="仿宋" w:hAnsi="仿宋" w:eastAsia="仿宋"/>
          <w:sz w:val="32"/>
          <w:szCs w:val="32"/>
        </w:rPr>
      </w:pPr>
      <w:r>
        <w:rPr>
          <w:rFonts w:hint="eastAsia" w:ascii="仿宋" w:hAnsi="仿宋" w:eastAsia="仿宋"/>
          <w:sz w:val="32"/>
          <w:szCs w:val="32"/>
        </w:rPr>
        <w:t>经测试本项目的现值指数为</w:t>
      </w:r>
      <w:r>
        <w:rPr>
          <w:rFonts w:ascii="仿宋" w:hAnsi="仿宋" w:eastAsia="仿宋"/>
          <w:sz w:val="32"/>
          <w:szCs w:val="32"/>
        </w:rPr>
        <w:t xml:space="preserve">1.36 </w:t>
      </w:r>
      <w:r>
        <w:rPr>
          <w:rFonts w:hint="eastAsia" w:ascii="仿宋" w:hAnsi="仿宋" w:eastAsia="仿宋"/>
          <w:sz w:val="32"/>
          <w:szCs w:val="32"/>
        </w:rPr>
        <w:t>&gt; 1。</w:t>
      </w:r>
    </w:p>
    <w:p>
      <w:pPr>
        <w:ind w:firstLine="602"/>
        <w:rPr>
          <w:rFonts w:ascii="仿宋" w:hAnsi="仿宋" w:eastAsia="仿宋"/>
          <w:b/>
          <w:sz w:val="32"/>
          <w:szCs w:val="32"/>
        </w:rPr>
      </w:pPr>
      <w:r>
        <w:rPr>
          <w:rFonts w:hint="eastAsia" w:ascii="仿宋" w:hAnsi="仿宋" w:eastAsia="仿宋"/>
          <w:b/>
          <w:sz w:val="32"/>
          <w:szCs w:val="32"/>
        </w:rPr>
        <w:t>投资利润率(ROI)</w:t>
      </w:r>
    </w:p>
    <w:p>
      <w:pPr>
        <w:ind w:firstLine="600"/>
        <w:rPr>
          <w:rFonts w:ascii="仿宋" w:hAnsi="仿宋" w:eastAsia="仿宋"/>
          <w:sz w:val="32"/>
          <w:szCs w:val="32"/>
        </w:rPr>
      </w:pPr>
      <w:r>
        <w:rPr>
          <w:rFonts w:hint="eastAsia" w:ascii="仿宋" w:hAnsi="仿宋" w:eastAsia="仿宋"/>
          <w:sz w:val="32"/>
          <w:szCs w:val="32"/>
        </w:rPr>
        <w:t>经测算本项目投资利润率为</w:t>
      </w:r>
      <w:r>
        <w:rPr>
          <w:rFonts w:ascii="仿宋" w:hAnsi="仿宋" w:eastAsia="仿宋"/>
          <w:sz w:val="32"/>
          <w:szCs w:val="32"/>
        </w:rPr>
        <w:t>28.58 %</w:t>
      </w:r>
      <w:r>
        <w:rPr>
          <w:rFonts w:hint="eastAsia" w:ascii="仿宋" w:hAnsi="仿宋" w:eastAsia="仿宋"/>
          <w:sz w:val="32"/>
          <w:szCs w:val="32"/>
        </w:rPr>
        <w:t>。</w:t>
      </w:r>
    </w:p>
    <w:p>
      <w:pPr>
        <w:ind w:firstLine="602"/>
        <w:rPr>
          <w:rFonts w:ascii="仿宋" w:hAnsi="仿宋" w:eastAsia="仿宋"/>
          <w:b/>
          <w:sz w:val="32"/>
          <w:szCs w:val="32"/>
        </w:rPr>
      </w:pPr>
      <w:r>
        <w:rPr>
          <w:rFonts w:hint="eastAsia" w:ascii="仿宋" w:hAnsi="仿宋" w:eastAsia="仿宋"/>
          <w:b/>
          <w:sz w:val="32"/>
          <w:szCs w:val="32"/>
        </w:rPr>
        <w:t>投资回收期（PP）</w:t>
      </w:r>
    </w:p>
    <w:p>
      <w:pPr>
        <w:ind w:firstLine="600"/>
        <w:rPr>
          <w:rFonts w:ascii="仿宋" w:hAnsi="仿宋" w:eastAsia="仿宋"/>
          <w:sz w:val="32"/>
          <w:szCs w:val="32"/>
        </w:rPr>
      </w:pPr>
      <w:r>
        <w:rPr>
          <w:rFonts w:hint="eastAsia" w:ascii="仿宋" w:hAnsi="仿宋" w:eastAsia="仿宋"/>
          <w:sz w:val="32"/>
          <w:szCs w:val="32"/>
        </w:rPr>
        <w:t>经测算本项目投资回收期为4.66年。</w:t>
      </w:r>
    </w:p>
    <w:p>
      <w:pPr>
        <w:ind w:firstLine="600"/>
        <w:rPr>
          <w:rFonts w:ascii="仿宋" w:hAnsi="仿宋" w:eastAsia="仿宋"/>
          <w:sz w:val="32"/>
          <w:szCs w:val="32"/>
        </w:rPr>
      </w:pPr>
      <w:r>
        <w:rPr>
          <w:rFonts w:hint="eastAsia" w:ascii="仿宋" w:hAnsi="仿宋" w:eastAsia="仿宋"/>
          <w:sz w:val="32"/>
          <w:szCs w:val="32"/>
        </w:rPr>
        <w:t>详见附表9：财务评价指标汇总表</w:t>
      </w:r>
    </w:p>
    <w:p>
      <w:pPr>
        <w:pStyle w:val="3"/>
        <w:rPr>
          <w:rFonts w:ascii="仿宋" w:hAnsi="仿宋" w:eastAsia="仿宋"/>
        </w:rPr>
      </w:pPr>
      <w:bookmarkStart w:id="31" w:name="_Toc398136282"/>
      <w:bookmarkStart w:id="32" w:name="_Toc499124865"/>
      <w:r>
        <w:rPr>
          <w:rFonts w:hint="eastAsia" w:ascii="仿宋" w:hAnsi="仿宋" w:eastAsia="仿宋"/>
        </w:rPr>
        <w:t>5.2.2 清偿能力评价</w:t>
      </w:r>
      <w:bookmarkEnd w:id="31"/>
      <w:bookmarkEnd w:id="32"/>
    </w:p>
    <w:p>
      <w:pPr>
        <w:ind w:firstLine="602"/>
        <w:rPr>
          <w:rFonts w:ascii="仿宋" w:hAnsi="仿宋" w:eastAsia="仿宋"/>
          <w:b/>
          <w:sz w:val="32"/>
          <w:szCs w:val="32"/>
        </w:rPr>
      </w:pPr>
      <w:r>
        <w:rPr>
          <w:rFonts w:hint="eastAsia" w:ascii="仿宋" w:hAnsi="仿宋" w:eastAsia="仿宋"/>
          <w:b/>
          <w:sz w:val="32"/>
          <w:szCs w:val="32"/>
        </w:rPr>
        <w:t>流动比率</w:t>
      </w:r>
    </w:p>
    <w:p>
      <w:pPr>
        <w:ind w:firstLine="600"/>
        <w:rPr>
          <w:rFonts w:ascii="仿宋" w:hAnsi="仿宋" w:eastAsia="仿宋"/>
          <w:sz w:val="32"/>
          <w:szCs w:val="32"/>
        </w:rPr>
      </w:pPr>
      <w:r>
        <w:rPr>
          <w:rFonts w:hint="eastAsia" w:ascii="仿宋" w:hAnsi="仿宋" w:eastAsia="仿宋"/>
          <w:sz w:val="32"/>
          <w:szCs w:val="32"/>
        </w:rPr>
        <w:t>经测算本项目流动比率为</w:t>
      </w:r>
      <w:r>
        <w:rPr>
          <w:rFonts w:ascii="仿宋" w:hAnsi="仿宋" w:eastAsia="仿宋"/>
          <w:sz w:val="32"/>
          <w:szCs w:val="32"/>
        </w:rPr>
        <w:t xml:space="preserve">134.20 </w:t>
      </w:r>
      <w:r>
        <w:rPr>
          <w:rFonts w:hint="eastAsia" w:ascii="仿宋" w:hAnsi="仿宋" w:eastAsia="仿宋"/>
          <w:sz w:val="32"/>
          <w:szCs w:val="32"/>
        </w:rPr>
        <w:t>&gt; 2。</w:t>
      </w:r>
    </w:p>
    <w:p>
      <w:pPr>
        <w:ind w:firstLine="602"/>
        <w:rPr>
          <w:rFonts w:ascii="仿宋" w:hAnsi="仿宋" w:eastAsia="仿宋"/>
          <w:b/>
          <w:sz w:val="32"/>
          <w:szCs w:val="32"/>
        </w:rPr>
      </w:pPr>
      <w:r>
        <w:rPr>
          <w:rFonts w:hint="eastAsia" w:ascii="仿宋" w:hAnsi="仿宋" w:eastAsia="仿宋"/>
          <w:b/>
          <w:sz w:val="32"/>
          <w:szCs w:val="32"/>
        </w:rPr>
        <w:t>速动比率</w:t>
      </w:r>
    </w:p>
    <w:p>
      <w:pPr>
        <w:ind w:firstLine="600"/>
        <w:rPr>
          <w:rFonts w:ascii="仿宋" w:hAnsi="仿宋" w:eastAsia="仿宋"/>
          <w:sz w:val="32"/>
          <w:szCs w:val="32"/>
        </w:rPr>
      </w:pPr>
      <w:r>
        <w:rPr>
          <w:rFonts w:hint="eastAsia" w:ascii="仿宋" w:hAnsi="仿宋" w:eastAsia="仿宋"/>
          <w:sz w:val="32"/>
          <w:szCs w:val="32"/>
        </w:rPr>
        <w:t>经测算本项目速动比率为</w:t>
      </w:r>
      <w:r>
        <w:rPr>
          <w:rFonts w:ascii="仿宋" w:hAnsi="仿宋" w:eastAsia="仿宋"/>
          <w:sz w:val="32"/>
          <w:szCs w:val="32"/>
        </w:rPr>
        <w:t xml:space="preserve">128.30 </w:t>
      </w:r>
      <w:r>
        <w:rPr>
          <w:rFonts w:hint="eastAsia" w:ascii="仿宋" w:hAnsi="仿宋" w:eastAsia="仿宋"/>
          <w:sz w:val="32"/>
          <w:szCs w:val="32"/>
        </w:rPr>
        <w:t>&gt; 1。</w:t>
      </w:r>
    </w:p>
    <w:p>
      <w:pPr>
        <w:ind w:firstLine="602"/>
        <w:rPr>
          <w:rFonts w:ascii="仿宋" w:hAnsi="仿宋" w:eastAsia="仿宋"/>
          <w:b/>
          <w:sz w:val="32"/>
          <w:szCs w:val="32"/>
        </w:rPr>
      </w:pPr>
      <w:r>
        <w:rPr>
          <w:rFonts w:hint="eastAsia" w:ascii="仿宋" w:hAnsi="仿宋" w:eastAsia="仿宋"/>
          <w:b/>
          <w:sz w:val="32"/>
          <w:szCs w:val="32"/>
        </w:rPr>
        <w:t>现金比率</w:t>
      </w:r>
    </w:p>
    <w:p>
      <w:pPr>
        <w:ind w:firstLine="600"/>
        <w:rPr>
          <w:rFonts w:ascii="仿宋" w:hAnsi="仿宋" w:eastAsia="仿宋"/>
          <w:sz w:val="32"/>
          <w:szCs w:val="32"/>
        </w:rPr>
      </w:pPr>
      <w:r>
        <w:rPr>
          <w:rFonts w:hint="eastAsia" w:ascii="仿宋" w:hAnsi="仿宋" w:eastAsia="仿宋"/>
          <w:sz w:val="32"/>
          <w:szCs w:val="32"/>
        </w:rPr>
        <w:t>经测试本项目的现金比率为</w:t>
      </w:r>
      <w:r>
        <w:rPr>
          <w:rFonts w:ascii="仿宋" w:hAnsi="仿宋" w:eastAsia="仿宋"/>
          <w:sz w:val="32"/>
          <w:szCs w:val="32"/>
        </w:rPr>
        <w:t xml:space="preserve">47.66 </w:t>
      </w:r>
      <w:r>
        <w:rPr>
          <w:rFonts w:hint="eastAsia" w:ascii="仿宋" w:hAnsi="仿宋" w:eastAsia="仿宋"/>
          <w:sz w:val="32"/>
          <w:szCs w:val="32"/>
        </w:rPr>
        <w:t>&gt;0.2。</w:t>
      </w:r>
    </w:p>
    <w:p>
      <w:pPr>
        <w:pStyle w:val="3"/>
        <w:rPr>
          <w:rFonts w:ascii="仿宋" w:hAnsi="仿宋" w:eastAsia="仿宋"/>
        </w:rPr>
      </w:pPr>
      <w:bookmarkStart w:id="33" w:name="_Toc398136283"/>
      <w:bookmarkStart w:id="34" w:name="_Toc499124866"/>
      <w:r>
        <w:rPr>
          <w:rFonts w:hint="eastAsia" w:ascii="仿宋" w:hAnsi="仿宋" w:eastAsia="仿宋"/>
        </w:rPr>
        <w:t>5.2.3 风险评价</w:t>
      </w:r>
      <w:bookmarkEnd w:id="33"/>
      <w:bookmarkEnd w:id="34"/>
    </w:p>
    <w:p>
      <w:pPr>
        <w:ind w:firstLine="602"/>
        <w:rPr>
          <w:rFonts w:ascii="仿宋" w:hAnsi="仿宋" w:eastAsia="仿宋"/>
          <w:b/>
          <w:sz w:val="32"/>
          <w:szCs w:val="32"/>
        </w:rPr>
      </w:pPr>
      <w:r>
        <w:rPr>
          <w:rFonts w:hint="eastAsia" w:ascii="仿宋" w:hAnsi="仿宋" w:eastAsia="仿宋"/>
          <w:b/>
          <w:sz w:val="32"/>
          <w:szCs w:val="32"/>
        </w:rPr>
        <w:t>金额盈亏平衡点（现金BEP）</w:t>
      </w:r>
    </w:p>
    <w:p>
      <w:pPr>
        <w:rPr>
          <w:rFonts w:ascii="仿宋" w:hAnsi="仿宋" w:eastAsia="仿宋"/>
          <w:sz w:val="32"/>
          <w:szCs w:val="32"/>
        </w:rPr>
      </w:pPr>
      <w:r>
        <w:rPr>
          <w:rFonts w:hint="eastAsia" w:ascii="仿宋" w:hAnsi="仿宋" w:eastAsia="仿宋"/>
          <w:sz w:val="32"/>
          <w:szCs w:val="32"/>
        </w:rPr>
        <w:t>本项目达产年的收入为10000万元，其金额盈亏平衡点为</w:t>
      </w:r>
      <w:r>
        <w:rPr>
          <w:rFonts w:ascii="仿宋" w:hAnsi="仿宋" w:eastAsia="仿宋"/>
          <w:sz w:val="32"/>
          <w:szCs w:val="32"/>
        </w:rPr>
        <w:t xml:space="preserve">1611.03 </w:t>
      </w:r>
      <w:r>
        <w:rPr>
          <w:rFonts w:hint="eastAsia" w:ascii="仿宋" w:hAnsi="仿宋" w:eastAsia="仿宋"/>
          <w:sz w:val="32"/>
          <w:szCs w:val="32"/>
        </w:rPr>
        <w:t>万元，即达到收入的16%时，实现盈亏平衡。</w:t>
      </w:r>
    </w:p>
    <w:p>
      <w:pPr>
        <w:ind w:firstLine="691" w:firstLineChars="216"/>
        <w:rPr>
          <w:rFonts w:ascii="仿宋" w:hAnsi="仿宋" w:eastAsia="仿宋"/>
          <w:sz w:val="32"/>
          <w:szCs w:val="32"/>
        </w:rPr>
      </w:pPr>
      <w:r>
        <w:rPr>
          <w:rFonts w:hint="eastAsia" w:ascii="仿宋" w:hAnsi="仿宋" w:eastAsia="仿宋"/>
          <w:sz w:val="32"/>
          <w:szCs w:val="32"/>
        </w:rPr>
        <w:t>上述各项指标表明，本项目具有较好的盈利空间和抗风险能力，财务评价可行。</w:t>
      </w:r>
    </w:p>
    <w:p>
      <w:pPr>
        <w:rPr>
          <w:rFonts w:ascii="仿宋" w:hAnsi="仿宋" w:eastAsia="仿宋"/>
          <w:sz w:val="32"/>
          <w:szCs w:val="32"/>
        </w:rPr>
      </w:pPr>
    </w:p>
    <w:p>
      <w:pPr>
        <w:pStyle w:val="2"/>
        <w:numPr>
          <w:ilvl w:val="0"/>
          <w:numId w:val="1"/>
        </w:numPr>
        <w:rPr>
          <w:rFonts w:ascii="仿宋" w:hAnsi="仿宋" w:eastAsia="仿宋"/>
        </w:rPr>
      </w:pPr>
      <w:bookmarkStart w:id="35" w:name="_Toc499124867"/>
      <w:r>
        <w:rPr>
          <w:rFonts w:hint="eastAsia" w:ascii="仿宋" w:hAnsi="仿宋" w:eastAsia="仿宋"/>
        </w:rPr>
        <w:t>产业发展环境</w:t>
      </w:r>
      <w:bookmarkEnd w:id="35"/>
    </w:p>
    <w:p>
      <w:pPr>
        <w:pStyle w:val="3"/>
        <w:rPr>
          <w:rFonts w:ascii="仿宋" w:hAnsi="仿宋" w:eastAsia="仿宋"/>
        </w:rPr>
      </w:pPr>
      <w:bookmarkStart w:id="36" w:name="_Toc499124868"/>
      <w:r>
        <w:rPr>
          <w:rFonts w:hint="eastAsia" w:ascii="仿宋" w:hAnsi="仿宋" w:eastAsia="仿宋"/>
        </w:rPr>
        <w:t>6.1旅游资源环境</w:t>
      </w:r>
      <w:bookmarkEnd w:id="36"/>
    </w:p>
    <w:p>
      <w:pPr>
        <w:ind w:firstLine="640" w:firstLineChars="200"/>
        <w:rPr>
          <w:rFonts w:ascii="仿宋" w:hAnsi="仿宋" w:eastAsia="仿宋" w:cs="宋体"/>
          <w:sz w:val="32"/>
          <w:szCs w:val="32"/>
        </w:rPr>
      </w:pPr>
      <w:r>
        <w:rPr>
          <w:rFonts w:hint="eastAsia" w:ascii="仿宋" w:hAnsi="仿宋" w:eastAsia="仿宋" w:cs="宋体"/>
          <w:sz w:val="32"/>
          <w:szCs w:val="32"/>
        </w:rPr>
        <w:t>2016年，息烽县63个示范小城镇项目完成投资55.42亿元，按计划100%完成。美丽乡村建设11个“提高型”示范点实施项目94个，累计完成投资18333万元。全年接待游客594.28万人次，实现旅游总收入38.41亿元。新增乡村客栈200家，旅游从业人员150人。2017年，息烽县计划实现旅游总收入51.85亿元，计划增长35%。</w:t>
      </w:r>
    </w:p>
    <w:p>
      <w:pPr>
        <w:pStyle w:val="3"/>
        <w:rPr>
          <w:rFonts w:ascii="仿宋" w:hAnsi="仿宋" w:eastAsia="仿宋"/>
        </w:rPr>
      </w:pPr>
      <w:bookmarkStart w:id="37" w:name="_Toc499124869"/>
      <w:r>
        <w:rPr>
          <w:rFonts w:hint="eastAsia" w:ascii="仿宋" w:hAnsi="仿宋" w:eastAsia="仿宋"/>
        </w:rPr>
        <w:t>6.2政策环境</w:t>
      </w:r>
      <w:bookmarkEnd w:id="37"/>
    </w:p>
    <w:p>
      <w:pPr>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贵阳市“十三五”“四在农家·美丽乡村”基础设施建设六项行动计划（2016-2020）》提出：要紧紧围绕建设“一个目标，三个建成”的宏伟蓝图，围绕建成结构合理、功能完善、畅通美化、安全便捷的小康路，围绕建设安全有效、保障有力的小康水，围绕建设安全适用、经济美观的小康房，围绕建设安全可靠、智能绿色的小康电，围绕建设宽带融合、普遍服务的小康讯，围绕建设功能齐全、设施完善、环境优美的小康寨，开展“四在农家·美丽乡村”基础设施建设六项行动计划，切实改善农村生产生活条件，推进农村生态文明建设，建成更高水平小康，把贵阳农村建设成为设施完善、产业发展、生态良好、环境优美、宜居宜业宜游的高一格的贵阳美丽乡村升级版。</w:t>
      </w:r>
    </w:p>
    <w:p>
      <w:pPr>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同时，贵阳市推进“和谐家园”创建工作，目标是在贵阳市拟选择100个行政村或自然村作为示范点，在2015年底前建成“美丽乡村·幸福家园”。通过示范带动，2020年底前力争全市60%的行政村或自然村基本达到“美丽乡村·幸福家园”建设标准。</w:t>
      </w:r>
    </w:p>
    <w:p>
      <w:pPr>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2017年，息烽县加快三产有效供给，促进旅游“井喷式”发展，全力打造以息烽温泉为重点的大健康养老养生产业集聚区，加大旅游公共服务设施投入力度。为推进“百里氡温泉大健康产业集聚区”建设，息烽县出台了《关于加快息烽县全域旅游发展的实施意见》，出台了《息烽县“十三五”旅游专项规划》、《息烽百里氡泉产业带发展规划》、《新萝森林温泉度假区修建性详细规划》等。</w:t>
      </w:r>
    </w:p>
    <w:p>
      <w:pPr>
        <w:pStyle w:val="3"/>
        <w:rPr>
          <w:rFonts w:ascii="仿宋" w:hAnsi="仿宋" w:eastAsia="仿宋"/>
        </w:rPr>
      </w:pPr>
      <w:bookmarkStart w:id="38" w:name="_Toc499124870"/>
      <w:r>
        <w:rPr>
          <w:rFonts w:hint="eastAsia" w:ascii="仿宋" w:hAnsi="仿宋" w:eastAsia="仿宋"/>
        </w:rPr>
        <w:t>6.3政务环境</w:t>
      </w:r>
      <w:bookmarkEnd w:id="38"/>
    </w:p>
    <w:p>
      <w:pPr>
        <w:ind w:firstLine="640" w:firstLineChars="200"/>
        <w:rPr>
          <w:rFonts w:ascii="仿宋" w:hAnsi="仿宋" w:eastAsia="仿宋" w:cs="宋体"/>
          <w:sz w:val="32"/>
          <w:szCs w:val="32"/>
        </w:rPr>
      </w:pPr>
      <w:r>
        <w:rPr>
          <w:rFonts w:hint="eastAsia" w:ascii="仿宋" w:hAnsi="仿宋" w:eastAsia="仿宋" w:cs="宋体"/>
          <w:sz w:val="32"/>
          <w:szCs w:val="32"/>
        </w:rPr>
        <w:t>息烽县人民政府专门设立招商引资“一站办”服务机构，从县有关职能部门抽人在县招商引资局具体办公。对投资企业实行“24小时服务承诺制”，县有关部门和县领导对投资者提出的问题在一个工作日内明确答复，并解决有关问题，直到投资者满意为止。凡到我县投资的外来企业，一律由县“一站办”服务办公室协助代办一切手续。</w:t>
      </w:r>
    </w:p>
    <w:p>
      <w:pPr>
        <w:ind w:firstLine="640" w:firstLineChars="200"/>
        <w:rPr>
          <w:rFonts w:ascii="仿宋" w:hAnsi="仿宋" w:eastAsia="仿宋" w:cs="宋体"/>
          <w:sz w:val="32"/>
          <w:szCs w:val="32"/>
        </w:rPr>
      </w:pPr>
      <w:r>
        <w:rPr>
          <w:rFonts w:hint="eastAsia" w:ascii="仿宋" w:hAnsi="仿宋" w:eastAsia="仿宋" w:cs="宋体"/>
          <w:sz w:val="32"/>
          <w:szCs w:val="32"/>
        </w:rPr>
        <w:t>在美丽乡村建设方面，息烽县通过“6个强化”，即强化竞争入围、运行调度、工作督查、绩效考核、奖励问责、重点扶持，进一步完善美丽乡村建设工作机制，提高县、乡、村三级工作积极性，加快推进全市美丽乡村建设工作。</w:t>
      </w:r>
    </w:p>
    <w:p>
      <w:pPr>
        <w:ind w:firstLine="640" w:firstLineChars="200"/>
        <w:rPr>
          <w:rFonts w:ascii="仿宋" w:hAnsi="仿宋" w:eastAsia="仿宋" w:cs="宋体"/>
          <w:sz w:val="32"/>
          <w:szCs w:val="32"/>
        </w:rPr>
      </w:pPr>
      <w:r>
        <w:rPr>
          <w:rFonts w:hint="eastAsia" w:ascii="仿宋" w:hAnsi="仿宋" w:eastAsia="仿宋" w:cs="宋体"/>
          <w:sz w:val="32"/>
          <w:szCs w:val="32"/>
        </w:rPr>
        <w:t>为与美丽乡村建设配套，息烽县将培育线上商贸流通企业5家，线上其它盈利性服务业5家。目前，“云上息烽·美丽乡村”云平台成为贵州省“广电云”上第一朵县级云，首期7个村级分平台完成建设并投入使用。</w:t>
      </w:r>
    </w:p>
    <w:p>
      <w:pPr>
        <w:pStyle w:val="2"/>
        <w:numPr>
          <w:ilvl w:val="0"/>
          <w:numId w:val="1"/>
        </w:numPr>
        <w:rPr>
          <w:rFonts w:ascii="仿宋" w:hAnsi="仿宋" w:eastAsia="仿宋"/>
        </w:rPr>
      </w:pPr>
      <w:bookmarkStart w:id="39" w:name="_Toc499124871"/>
      <w:r>
        <w:rPr>
          <w:rFonts w:hint="eastAsia" w:ascii="仿宋" w:hAnsi="仿宋" w:eastAsia="仿宋"/>
        </w:rPr>
        <w:t>区域招商优势</w:t>
      </w:r>
      <w:bookmarkEnd w:id="39"/>
    </w:p>
    <w:p>
      <w:pPr>
        <w:pStyle w:val="3"/>
        <w:rPr>
          <w:rFonts w:ascii="仿宋" w:hAnsi="仿宋" w:eastAsia="仿宋"/>
          <w:szCs w:val="22"/>
        </w:rPr>
      </w:pPr>
      <w:bookmarkStart w:id="40" w:name="_Toc430295272"/>
      <w:bookmarkStart w:id="41" w:name="_Toc499124872"/>
      <w:r>
        <w:rPr>
          <w:rFonts w:hint="eastAsia" w:ascii="仿宋" w:hAnsi="仿宋" w:eastAsia="仿宋"/>
          <w:szCs w:val="22"/>
        </w:rPr>
        <w:t>7.1区位</w:t>
      </w:r>
      <w:bookmarkEnd w:id="40"/>
      <w:bookmarkEnd w:id="41"/>
    </w:p>
    <w:p>
      <w:pPr>
        <w:spacing w:line="360" w:lineRule="auto"/>
        <w:ind w:firstLine="600" w:firstLineChars="200"/>
        <w:rPr>
          <w:rFonts w:ascii="仿宋" w:hAnsi="仿宋" w:eastAsia="仿宋" w:cs="宋体"/>
          <w:sz w:val="30"/>
        </w:rPr>
      </w:pPr>
      <w:bookmarkStart w:id="42" w:name="_Toc402783020"/>
      <w:bookmarkStart w:id="43" w:name="_Toc430295276"/>
      <w:r>
        <w:rPr>
          <w:rFonts w:hint="eastAsia" w:ascii="仿宋" w:hAnsi="仿宋" w:eastAsia="仿宋" w:cs="宋体"/>
          <w:sz w:val="30"/>
        </w:rPr>
        <w:t>息烽县位于贵州省中部，在省会贵阳和历史名城遵义之间，县城所在地南距贵阳市中心66千米，北距遵义85千米，是黔北及重庆、四川两省市南下海的必经之地。</w:t>
      </w:r>
    </w:p>
    <w:p>
      <w:pPr>
        <w:spacing w:line="360" w:lineRule="auto"/>
        <w:ind w:firstLine="600" w:firstLineChars="200"/>
        <w:rPr>
          <w:rFonts w:ascii="仿宋" w:hAnsi="仿宋" w:eastAsia="仿宋" w:cs="宋体"/>
          <w:sz w:val="30"/>
        </w:rPr>
      </w:pPr>
      <w:r>
        <w:rPr>
          <w:rFonts w:hint="eastAsia" w:ascii="仿宋" w:hAnsi="仿宋" w:eastAsia="仿宋" w:cs="宋体"/>
          <w:sz w:val="30"/>
        </w:rPr>
        <w:t>东临</w:t>
      </w:r>
      <w:r>
        <w:fldChar w:fldCharType="begin"/>
      </w:r>
      <w:r>
        <w:instrText xml:space="preserve">HYPERLINK "http://baike.baidu.com/subview/148189/10831456.htm" \t "_blank" </w:instrText>
      </w:r>
      <w:r>
        <w:fldChar w:fldCharType="separate"/>
      </w:r>
      <w:r>
        <w:rPr>
          <w:rFonts w:hint="eastAsia" w:ascii="仿宋" w:hAnsi="仿宋" w:eastAsia="仿宋" w:cs="宋体"/>
          <w:sz w:val="30"/>
        </w:rPr>
        <w:t>开阳</w:t>
      </w:r>
      <w:r>
        <w:fldChar w:fldCharType="end"/>
      </w:r>
      <w:r>
        <w:rPr>
          <w:rFonts w:hint="eastAsia" w:ascii="仿宋" w:hAnsi="仿宋" w:eastAsia="仿宋" w:cs="宋体"/>
          <w:sz w:val="30"/>
        </w:rPr>
        <w:t>，南接</w:t>
      </w:r>
      <w:r>
        <w:fldChar w:fldCharType="begin"/>
      </w:r>
      <w:r>
        <w:instrText xml:space="preserve">HYPERLINK "http://baike.baidu.com/subview/1784481/9069338.htm" \t "_blank" </w:instrText>
      </w:r>
      <w:r>
        <w:fldChar w:fldCharType="separate"/>
      </w:r>
      <w:r>
        <w:rPr>
          <w:rFonts w:hint="eastAsia" w:ascii="仿宋" w:hAnsi="仿宋" w:eastAsia="仿宋" w:cs="宋体"/>
          <w:sz w:val="30"/>
        </w:rPr>
        <w:t>修文</w:t>
      </w:r>
      <w:r>
        <w:fldChar w:fldCharType="end"/>
      </w:r>
      <w:r>
        <w:rPr>
          <w:rFonts w:hint="eastAsia" w:ascii="仿宋" w:hAnsi="仿宋" w:eastAsia="仿宋" w:cs="宋体"/>
          <w:sz w:val="30"/>
        </w:rPr>
        <w:t>，西北与</w:t>
      </w:r>
      <w:r>
        <w:fldChar w:fldCharType="begin"/>
      </w:r>
      <w:r>
        <w:instrText xml:space="preserve">HYPERLINK "http://baike.baidu.com/subview/23633/11847613.htm" \t "_blank" </w:instrText>
      </w:r>
      <w:r>
        <w:fldChar w:fldCharType="separate"/>
      </w:r>
      <w:r>
        <w:rPr>
          <w:rFonts w:hint="eastAsia" w:ascii="仿宋" w:hAnsi="仿宋" w:eastAsia="仿宋" w:cs="宋体"/>
          <w:sz w:val="30"/>
        </w:rPr>
        <w:t>遵义</w:t>
      </w:r>
      <w:r>
        <w:fldChar w:fldCharType="end"/>
      </w:r>
      <w:r>
        <w:rPr>
          <w:rFonts w:hint="eastAsia" w:ascii="仿宋" w:hAnsi="仿宋" w:eastAsia="仿宋" w:cs="宋体"/>
          <w:sz w:val="30"/>
        </w:rPr>
        <w:t>、</w:t>
      </w:r>
      <w:r>
        <w:fldChar w:fldCharType="begin"/>
      </w:r>
      <w:r>
        <w:instrText xml:space="preserve">HYPERLINK "http://baike.baidu.com/subview/78802/7997601.htm" \t "_blank" </w:instrText>
      </w:r>
      <w:r>
        <w:fldChar w:fldCharType="separate"/>
      </w:r>
      <w:r>
        <w:rPr>
          <w:rFonts w:hint="eastAsia" w:ascii="仿宋" w:hAnsi="仿宋" w:eastAsia="仿宋" w:cs="宋体"/>
          <w:sz w:val="30"/>
        </w:rPr>
        <w:t>金沙</w:t>
      </w:r>
      <w:r>
        <w:fldChar w:fldCharType="end"/>
      </w:r>
      <w:r>
        <w:rPr>
          <w:rFonts w:hint="eastAsia" w:ascii="仿宋" w:hAnsi="仿宋" w:eastAsia="仿宋" w:cs="宋体"/>
          <w:sz w:val="30"/>
        </w:rPr>
        <w:t>两县相望。处于国务院确定的“黔中产业带”的黄金地段—</w:t>
      </w:r>
      <w:r>
        <w:fldChar w:fldCharType="begin"/>
      </w:r>
      <w:r>
        <w:instrText xml:space="preserve">HYPERLINK "http://baike.baidu.com/view/4071462.htm" \t "_blank" </w:instrText>
      </w:r>
      <w:r>
        <w:fldChar w:fldCharType="separate"/>
      </w:r>
      <w:r>
        <w:rPr>
          <w:rFonts w:hint="eastAsia" w:ascii="仿宋" w:hAnsi="仿宋" w:eastAsia="仿宋" w:cs="宋体"/>
          <w:sz w:val="30"/>
        </w:rPr>
        <w:t>黔中经济区</w:t>
      </w:r>
      <w:r>
        <w:fldChar w:fldCharType="end"/>
      </w:r>
      <w:r>
        <w:rPr>
          <w:rFonts w:hint="eastAsia" w:ascii="仿宋" w:hAnsi="仿宋" w:eastAsia="仿宋" w:cs="宋体"/>
          <w:sz w:val="30"/>
        </w:rPr>
        <w:t>和贵阳生态保护发展区、北部高新技术产业实体经济带上。</w:t>
      </w:r>
    </w:p>
    <w:p>
      <w:pPr>
        <w:pStyle w:val="3"/>
        <w:rPr>
          <w:rFonts w:ascii="仿宋" w:hAnsi="仿宋" w:eastAsia="仿宋"/>
          <w:szCs w:val="22"/>
        </w:rPr>
      </w:pPr>
      <w:bookmarkStart w:id="44" w:name="_Toc2081"/>
      <w:bookmarkStart w:id="45" w:name="_Toc402854603"/>
      <w:bookmarkStart w:id="46" w:name="_Toc402430840"/>
      <w:bookmarkStart w:id="47" w:name="_Toc466278227"/>
      <w:bookmarkStart w:id="48" w:name="_Toc466230061"/>
      <w:bookmarkStart w:id="49" w:name="_Toc426707044"/>
      <w:bookmarkStart w:id="50" w:name="_Toc9680"/>
      <w:bookmarkStart w:id="51" w:name="_Toc499124873"/>
      <w:r>
        <w:rPr>
          <w:rFonts w:hint="eastAsia" w:ascii="仿宋" w:hAnsi="仿宋" w:eastAsia="仿宋"/>
          <w:szCs w:val="22"/>
        </w:rPr>
        <w:t>7.2交通</w:t>
      </w:r>
      <w:bookmarkEnd w:id="44"/>
      <w:bookmarkEnd w:id="45"/>
      <w:bookmarkEnd w:id="46"/>
      <w:bookmarkEnd w:id="47"/>
      <w:bookmarkEnd w:id="48"/>
      <w:bookmarkEnd w:id="49"/>
      <w:bookmarkEnd w:id="50"/>
      <w:bookmarkEnd w:id="51"/>
    </w:p>
    <w:p>
      <w:pPr>
        <w:spacing w:line="360" w:lineRule="auto"/>
        <w:ind w:firstLine="600" w:firstLineChars="200"/>
        <w:rPr>
          <w:rFonts w:ascii="仿宋" w:hAnsi="仿宋" w:eastAsia="仿宋" w:cs="宋体"/>
          <w:sz w:val="30"/>
        </w:rPr>
      </w:pPr>
      <w:bookmarkStart w:id="52" w:name="_Toc392843080"/>
      <w:r>
        <w:rPr>
          <w:rFonts w:hint="eastAsia" w:ascii="仿宋" w:hAnsi="仿宋" w:eastAsia="仿宋" w:cs="宋体"/>
          <w:sz w:val="30"/>
        </w:rPr>
        <w:t>目前，有川黔铁路、210国道和连接四川、重庆南下出海口通道的贵遵高等级公路南北纵贯全境，瓮安至毕节、成都高速公路东西贯穿全境，息烽县城至贵阳龙洞堡国际机场仅有70千米。</w:t>
      </w:r>
    </w:p>
    <w:p>
      <w:pPr>
        <w:spacing w:line="360" w:lineRule="auto"/>
        <w:ind w:firstLine="600" w:firstLineChars="200"/>
        <w:rPr>
          <w:rFonts w:ascii="仿宋" w:hAnsi="仿宋" w:eastAsia="仿宋" w:cs="宋体"/>
          <w:sz w:val="30"/>
        </w:rPr>
      </w:pPr>
      <w:r>
        <w:rPr>
          <w:rFonts w:hint="eastAsia" w:ascii="仿宋" w:hAnsi="仿宋" w:eastAsia="仿宋" w:cs="宋体"/>
          <w:sz w:val="30"/>
        </w:rPr>
        <w:t>贵阳至重庆、贵阳至广州快速铁路及贵阳至广州高速公路建成后，从息烽到重庆只需90分钟，到广州只需5个多小时。</w:t>
      </w:r>
    </w:p>
    <w:p>
      <w:pPr>
        <w:spacing w:line="360" w:lineRule="auto"/>
        <w:ind w:firstLine="600" w:firstLineChars="200"/>
        <w:rPr>
          <w:rFonts w:ascii="仿宋" w:hAnsi="仿宋" w:eastAsia="仿宋" w:cs="宋体"/>
          <w:sz w:val="30"/>
        </w:rPr>
      </w:pPr>
      <w:r>
        <w:rPr>
          <w:rFonts w:hint="eastAsia" w:ascii="仿宋" w:hAnsi="仿宋" w:eastAsia="仿宋" w:cs="宋体"/>
          <w:sz w:val="30"/>
        </w:rPr>
        <w:t>息烽还有62千米的乌江过境航道，即将建设完成的吞吐量300万吨/年的贵阳港息烽港区码头可通长江进入长三角经济区。</w:t>
      </w:r>
    </w:p>
    <w:p>
      <w:pPr>
        <w:pStyle w:val="3"/>
        <w:rPr>
          <w:rFonts w:ascii="仿宋" w:hAnsi="仿宋" w:eastAsia="仿宋"/>
          <w:szCs w:val="22"/>
        </w:rPr>
      </w:pPr>
      <w:bookmarkStart w:id="53" w:name="_Toc426707045"/>
      <w:bookmarkStart w:id="54" w:name="_Toc466230062"/>
      <w:bookmarkStart w:id="55" w:name="_Toc466278228"/>
      <w:bookmarkStart w:id="56" w:name="_Toc499124874"/>
      <w:bookmarkStart w:id="57" w:name="_Toc402430841"/>
      <w:bookmarkStart w:id="58" w:name="_Toc402854604"/>
      <w:bookmarkStart w:id="59" w:name="_Toc9112"/>
      <w:bookmarkStart w:id="60" w:name="_Toc22564"/>
      <w:r>
        <w:rPr>
          <w:rFonts w:hint="eastAsia" w:ascii="仿宋" w:hAnsi="仿宋" w:eastAsia="仿宋"/>
          <w:szCs w:val="22"/>
        </w:rPr>
        <w:t>7.3气候</w:t>
      </w:r>
      <w:bookmarkEnd w:id="53"/>
      <w:bookmarkEnd w:id="54"/>
      <w:bookmarkEnd w:id="55"/>
      <w:bookmarkEnd w:id="56"/>
      <w:bookmarkEnd w:id="57"/>
      <w:bookmarkEnd w:id="58"/>
      <w:bookmarkEnd w:id="59"/>
      <w:bookmarkEnd w:id="60"/>
    </w:p>
    <w:p>
      <w:pPr>
        <w:spacing w:line="360" w:lineRule="auto"/>
        <w:ind w:firstLine="600" w:firstLineChars="200"/>
        <w:rPr>
          <w:rFonts w:ascii="仿宋" w:hAnsi="仿宋" w:eastAsia="仿宋" w:cs="宋体"/>
          <w:sz w:val="30"/>
        </w:rPr>
      </w:pPr>
      <w:r>
        <w:rPr>
          <w:rFonts w:hint="eastAsia" w:ascii="仿宋" w:hAnsi="仿宋" w:eastAsia="仿宋" w:cs="宋体"/>
          <w:sz w:val="30"/>
        </w:rPr>
        <w:t>息烽县属北亚热带和南温带季风气候区，年平均气温14.5C，年均降雨量1111毫米，大部分地区全年无霜期在270天以上。气候温和，雨量充沛，冬无严寒，夏无酷暑，气候宜人。</w:t>
      </w:r>
    </w:p>
    <w:p>
      <w:pPr>
        <w:pStyle w:val="3"/>
        <w:rPr>
          <w:rFonts w:ascii="仿宋" w:hAnsi="仿宋" w:eastAsia="仿宋"/>
          <w:szCs w:val="22"/>
        </w:rPr>
      </w:pPr>
      <w:bookmarkStart w:id="61" w:name="_Toc466230063"/>
      <w:bookmarkStart w:id="62" w:name="_Toc499124875"/>
      <w:bookmarkStart w:id="63" w:name="_Toc402430842"/>
      <w:bookmarkStart w:id="64" w:name="_Toc402854605"/>
      <w:bookmarkStart w:id="65" w:name="_Toc32626"/>
      <w:bookmarkStart w:id="66" w:name="_Toc7775"/>
      <w:bookmarkStart w:id="67" w:name="_Toc466278229"/>
      <w:bookmarkStart w:id="68" w:name="_Toc426707046"/>
      <w:r>
        <w:rPr>
          <w:rFonts w:hint="eastAsia" w:ascii="仿宋" w:hAnsi="仿宋" w:eastAsia="仿宋"/>
          <w:szCs w:val="22"/>
        </w:rPr>
        <w:t>7.4生产要素</w:t>
      </w:r>
      <w:bookmarkEnd w:id="52"/>
      <w:bookmarkEnd w:id="61"/>
      <w:bookmarkEnd w:id="62"/>
      <w:bookmarkEnd w:id="63"/>
      <w:bookmarkEnd w:id="64"/>
      <w:bookmarkEnd w:id="65"/>
      <w:bookmarkEnd w:id="66"/>
      <w:bookmarkEnd w:id="67"/>
      <w:bookmarkEnd w:id="68"/>
    </w:p>
    <w:p>
      <w:pPr>
        <w:spacing w:line="360" w:lineRule="auto"/>
        <w:ind w:firstLine="602" w:firstLineChars="200"/>
        <w:rPr>
          <w:rFonts w:ascii="仿宋" w:hAnsi="仿宋" w:eastAsia="仿宋" w:cs="宋体"/>
          <w:b/>
          <w:sz w:val="30"/>
        </w:rPr>
      </w:pPr>
      <w:r>
        <w:rPr>
          <w:rFonts w:hint="eastAsia" w:ascii="仿宋" w:hAnsi="仿宋" w:eastAsia="仿宋" w:cs="宋体"/>
          <w:b/>
          <w:sz w:val="30"/>
        </w:rPr>
        <w:t>人力资源</w:t>
      </w:r>
    </w:p>
    <w:p>
      <w:pPr>
        <w:spacing w:line="360" w:lineRule="auto"/>
        <w:ind w:firstLine="600" w:firstLineChars="200"/>
        <w:rPr>
          <w:rFonts w:ascii="仿宋" w:hAnsi="仿宋" w:eastAsia="仿宋" w:cs="宋体"/>
          <w:kern w:val="0"/>
          <w:szCs w:val="21"/>
        </w:rPr>
      </w:pPr>
      <w:r>
        <w:rPr>
          <w:rFonts w:hint="eastAsia" w:ascii="仿宋" w:hAnsi="仿宋" w:eastAsia="仿宋" w:cs="宋体"/>
          <w:sz w:val="30"/>
        </w:rPr>
        <w:t>全县总人口26.8万人，其中农业人口23.3万人，有富余劳动力8.5万人，劳动力资源富足。</w:t>
      </w:r>
    </w:p>
    <w:p>
      <w:pPr>
        <w:spacing w:line="360" w:lineRule="auto"/>
        <w:ind w:firstLine="602" w:firstLineChars="200"/>
        <w:rPr>
          <w:rFonts w:ascii="仿宋" w:hAnsi="仿宋" w:eastAsia="仿宋" w:cs="宋体"/>
          <w:b/>
          <w:sz w:val="30"/>
        </w:rPr>
      </w:pPr>
      <w:r>
        <w:rPr>
          <w:rFonts w:hint="eastAsia" w:ascii="仿宋" w:hAnsi="仿宋" w:eastAsia="仿宋" w:cs="宋体"/>
          <w:b/>
          <w:sz w:val="30"/>
        </w:rPr>
        <w:t>供水供电</w:t>
      </w:r>
    </w:p>
    <w:p>
      <w:pPr>
        <w:spacing w:line="360" w:lineRule="auto"/>
        <w:ind w:firstLine="600" w:firstLineChars="200"/>
        <w:rPr>
          <w:rFonts w:ascii="仿宋" w:hAnsi="仿宋" w:eastAsia="仿宋" w:cs="宋体"/>
          <w:sz w:val="30"/>
        </w:rPr>
      </w:pPr>
      <w:bookmarkStart w:id="69" w:name="_Toc392843085"/>
      <w:r>
        <w:rPr>
          <w:rFonts w:hint="eastAsia" w:ascii="仿宋" w:hAnsi="仿宋" w:eastAsia="仿宋" w:cs="宋体"/>
          <w:sz w:val="30"/>
        </w:rPr>
        <w:t>息烽县境北濒有贵州省储水量第一的乌江库区，日供水能力3万多吨，实际日供水量2.5-2.8万吨。</w:t>
      </w:r>
    </w:p>
    <w:p>
      <w:pPr>
        <w:spacing w:line="360" w:lineRule="auto"/>
        <w:ind w:firstLine="600" w:firstLineChars="200"/>
        <w:rPr>
          <w:rFonts w:ascii="仿宋" w:hAnsi="仿宋" w:eastAsia="仿宋" w:cs="宋体"/>
          <w:sz w:val="30"/>
        </w:rPr>
      </w:pPr>
      <w:r>
        <w:rPr>
          <w:rFonts w:hint="eastAsia" w:ascii="仿宋" w:hAnsi="仿宋" w:eastAsia="仿宋" w:cs="宋体"/>
          <w:sz w:val="30"/>
        </w:rPr>
        <w:t>息烽还位于贵州电网的中心位置，国家电网覆盖全县，北有乌江渡发电站、南有河口电站、清镇电站，供电设施完善，电力供应充足。</w:t>
      </w:r>
    </w:p>
    <w:bookmarkEnd w:id="69"/>
    <w:p>
      <w:pPr>
        <w:pStyle w:val="3"/>
        <w:rPr>
          <w:rFonts w:ascii="仿宋" w:hAnsi="仿宋" w:eastAsia="仿宋"/>
          <w:szCs w:val="22"/>
        </w:rPr>
      </w:pPr>
      <w:bookmarkStart w:id="70" w:name="_Toc426707047"/>
      <w:bookmarkStart w:id="71" w:name="_Toc466230064"/>
      <w:bookmarkStart w:id="72" w:name="_Toc466278230"/>
      <w:bookmarkStart w:id="73" w:name="_Toc499124876"/>
      <w:bookmarkStart w:id="74" w:name="_Toc402430843"/>
      <w:bookmarkStart w:id="75" w:name="_Toc402854606"/>
      <w:bookmarkStart w:id="76" w:name="_Toc20182"/>
      <w:bookmarkStart w:id="77" w:name="_Toc3126"/>
      <w:r>
        <w:rPr>
          <w:rFonts w:hint="eastAsia" w:ascii="仿宋" w:hAnsi="仿宋" w:eastAsia="仿宋"/>
          <w:szCs w:val="22"/>
        </w:rPr>
        <w:t>7.5息烽县概况</w:t>
      </w:r>
      <w:bookmarkEnd w:id="70"/>
      <w:bookmarkEnd w:id="71"/>
      <w:bookmarkEnd w:id="72"/>
      <w:bookmarkEnd w:id="73"/>
      <w:bookmarkEnd w:id="74"/>
      <w:bookmarkEnd w:id="75"/>
      <w:bookmarkEnd w:id="76"/>
      <w:bookmarkEnd w:id="77"/>
    </w:p>
    <w:p>
      <w:pPr>
        <w:spacing w:line="360" w:lineRule="auto"/>
        <w:ind w:firstLine="602" w:firstLineChars="200"/>
        <w:rPr>
          <w:rFonts w:ascii="仿宋" w:hAnsi="仿宋" w:eastAsia="仿宋" w:cs="宋体"/>
          <w:sz w:val="30"/>
        </w:rPr>
      </w:pPr>
      <w:r>
        <w:rPr>
          <w:rFonts w:hint="eastAsia" w:ascii="仿宋" w:hAnsi="仿宋" w:eastAsia="仿宋" w:cs="宋体"/>
          <w:b/>
          <w:bCs/>
          <w:sz w:val="30"/>
        </w:rPr>
        <w:t>行政区划：</w:t>
      </w:r>
      <w:r>
        <w:rPr>
          <w:rFonts w:hint="eastAsia" w:ascii="仿宋" w:hAnsi="仿宋" w:eastAsia="仿宋" w:cs="宋体"/>
          <w:sz w:val="30"/>
        </w:rPr>
        <w:t>息烽县现有人口26.8万，下辖4镇6乡，161个行政村，7个居民委员会。息烽县森林覆盖率达40%，境内原生天然林多，大部分地区林木丰茂，水圭保持良好，有“天然氧吧”之美誉。</w:t>
      </w:r>
    </w:p>
    <w:p>
      <w:pPr>
        <w:spacing w:line="360" w:lineRule="auto"/>
        <w:ind w:firstLine="602" w:firstLineChars="200"/>
        <w:rPr>
          <w:rFonts w:ascii="仿宋" w:hAnsi="仿宋" w:eastAsia="仿宋" w:cs="宋体"/>
          <w:sz w:val="30"/>
        </w:rPr>
      </w:pPr>
      <w:r>
        <w:rPr>
          <w:rFonts w:hint="eastAsia" w:ascii="仿宋" w:hAnsi="仿宋" w:eastAsia="仿宋" w:cs="宋体"/>
          <w:b/>
          <w:bCs/>
          <w:sz w:val="30"/>
        </w:rPr>
        <w:t>经济状况：</w:t>
      </w:r>
      <w:r>
        <w:rPr>
          <w:rFonts w:hint="eastAsia" w:ascii="仿宋" w:hAnsi="仿宋" w:eastAsia="仿宋" w:cs="宋体"/>
          <w:sz w:val="30"/>
        </w:rPr>
        <w:t>2016年，全县地方生产总值完成164.62亿元，比上年增长13.2%，在全省22个县域第一方阵县（市、特区）中绝对值排第12位，增速排第9位，在贵阳市三县一市中绝对值排第4位，增速排第2位。第一产业增加值完成17.11亿元，比上年增长6.4%；第二产业增加值79.07亿元，比上年增长13.2%；第三产业增加值68.44亿元，比上年增长14.7%。</w:t>
      </w:r>
    </w:p>
    <w:p>
      <w:pPr>
        <w:spacing w:line="360" w:lineRule="auto"/>
        <w:ind w:firstLine="602" w:firstLineChars="200"/>
        <w:rPr>
          <w:rFonts w:ascii="仿宋" w:hAnsi="仿宋" w:eastAsia="仿宋" w:cs="宋体"/>
          <w:sz w:val="30"/>
        </w:rPr>
      </w:pPr>
      <w:r>
        <w:rPr>
          <w:rFonts w:hint="eastAsia" w:ascii="仿宋" w:hAnsi="仿宋" w:eastAsia="仿宋" w:cs="宋体"/>
          <w:b/>
          <w:bCs/>
          <w:sz w:val="30"/>
        </w:rPr>
        <w:t>文化旅游：</w:t>
      </w:r>
      <w:r>
        <w:rPr>
          <w:rFonts w:hint="eastAsia" w:ascii="仿宋" w:hAnsi="仿宋" w:eastAsia="仿宋" w:cs="宋体"/>
          <w:sz w:val="30"/>
        </w:rPr>
        <w:t>息烽县已形成了享天然大氧吧“洗肺”、观息烽集中营“洗脑”、 游浪漫乌江峡“洗眼”、登胜景佛天西望山“洗心”、泡“国泉神汤”息烽温泉“洗身”、品美味阳朗辣子鸡和息烽乌江豆腐鱼“洗胃”的“六洗”旅游品牌。红色、温泉、生态、文化，是息烽四大顶级旅游资源。境内有息烽集中营革命历史纪念馆、息烽乌江峡2个全国红色旅游经典景区，有半边天文化发祥地；氡温泉；有东汉古墓、明永乐五年盟誓碑等众多历史文化遗存。</w:t>
      </w:r>
    </w:p>
    <w:bookmarkEnd w:id="42"/>
    <w:bookmarkEnd w:id="43"/>
    <w:p>
      <w:pPr>
        <w:pStyle w:val="2"/>
        <w:numPr>
          <w:ilvl w:val="0"/>
          <w:numId w:val="1"/>
        </w:numPr>
        <w:rPr>
          <w:rFonts w:ascii="仿宋" w:hAnsi="仿宋" w:eastAsia="仿宋"/>
        </w:rPr>
      </w:pPr>
      <w:bookmarkStart w:id="78" w:name="_Toc499124877"/>
      <w:r>
        <w:rPr>
          <w:rFonts w:hint="eastAsia" w:ascii="仿宋" w:hAnsi="仿宋" w:eastAsia="仿宋"/>
        </w:rPr>
        <w:t>招商需求及方向</w:t>
      </w:r>
      <w:bookmarkEnd w:id="78"/>
    </w:p>
    <w:p>
      <w:pPr>
        <w:pStyle w:val="29"/>
        <w:ind w:firstLine="640"/>
        <w:rPr>
          <w:rFonts w:ascii="仿宋" w:hAnsi="仿宋" w:eastAsia="仿宋" w:cs="宋体"/>
          <w:color w:val="000000"/>
          <w:sz w:val="32"/>
          <w:szCs w:val="32"/>
        </w:rPr>
      </w:pPr>
      <w:r>
        <w:rPr>
          <w:rFonts w:hint="eastAsia" w:ascii="仿宋" w:hAnsi="仿宋" w:eastAsia="仿宋" w:cs="宋体"/>
          <w:color w:val="000000"/>
          <w:sz w:val="32"/>
          <w:szCs w:val="32"/>
        </w:rPr>
        <w:t>本项目从赶子村建设实际和产业发展需求出发，重点</w:t>
      </w:r>
      <w:r>
        <w:rPr>
          <w:rFonts w:hint="eastAsia" w:ascii="仿宋" w:hAnsi="仿宋" w:eastAsia="仿宋"/>
          <w:sz w:val="30"/>
          <w:szCs w:val="30"/>
        </w:rPr>
        <w:t>面向世界500强、国内500强、民营企业500强进行重点招商，重点招商企业有：美国ADM、荷兰邦吉、丰益国际、巴西JBS、美国泰森食品、新希望集团有限公司、中国食品有限公司、碧桂园、万达集团、BAT、华润置地、和润集团、稻花香集团、正邦集团有限公司、深圳大生农业集团有限公司、携程旅行网、途牛旅游网等。</w:t>
      </w:r>
    </w:p>
    <w:p>
      <w:pPr>
        <w:pStyle w:val="2"/>
        <w:numPr>
          <w:ilvl w:val="0"/>
          <w:numId w:val="1"/>
        </w:numPr>
        <w:rPr>
          <w:rFonts w:ascii="仿宋" w:hAnsi="仿宋" w:eastAsia="仿宋"/>
        </w:rPr>
      </w:pPr>
      <w:bookmarkStart w:id="79" w:name="_Toc499124878"/>
      <w:r>
        <w:rPr>
          <w:rFonts w:hint="eastAsia" w:ascii="仿宋" w:hAnsi="仿宋" w:eastAsia="仿宋"/>
        </w:rPr>
        <w:t>环境评估</w:t>
      </w:r>
      <w:bookmarkEnd w:id="79"/>
    </w:p>
    <w:p>
      <w:pPr>
        <w:pStyle w:val="3"/>
        <w:rPr>
          <w:rFonts w:ascii="仿宋" w:hAnsi="仿宋" w:eastAsia="仿宋"/>
          <w:szCs w:val="22"/>
        </w:rPr>
      </w:pPr>
      <w:bookmarkStart w:id="80" w:name="_Toc499124879"/>
      <w:r>
        <w:rPr>
          <w:rFonts w:hint="eastAsia" w:ascii="仿宋" w:hAnsi="仿宋" w:eastAsia="仿宋"/>
          <w:szCs w:val="22"/>
        </w:rPr>
        <w:t>9.1 污染源分析</w:t>
      </w:r>
      <w:bookmarkEnd w:id="80"/>
    </w:p>
    <w:p>
      <w:pPr>
        <w:ind w:firstLine="640" w:firstLineChars="200"/>
        <w:jc w:val="left"/>
        <w:rPr>
          <w:rFonts w:ascii="仿宋" w:hAnsi="仿宋" w:eastAsia="仿宋"/>
        </w:rPr>
      </w:pPr>
      <w:r>
        <w:rPr>
          <w:rFonts w:hint="eastAsia" w:ascii="仿宋" w:hAnsi="仿宋" w:eastAsia="仿宋" w:cs="宋体"/>
          <w:color w:val="000000"/>
          <w:sz w:val="32"/>
          <w:szCs w:val="32"/>
        </w:rPr>
        <w:t>本项目是田园综合体项目，工程建设主要是从事种植养殖生产、农业景观打造、各类休闲体验、农业基础设施建设和配套设施建设。基本没有太大污染问题，主要污染来自基础设施建设和配套设施建设产生的泥土、扬尘、部分噪音、少量废弃物、生活废水和生活垃圾等污染物，对周边生态环境影响较小。</w:t>
      </w:r>
    </w:p>
    <w:p>
      <w:pPr>
        <w:pStyle w:val="3"/>
        <w:rPr>
          <w:rFonts w:ascii="仿宋" w:hAnsi="仿宋" w:eastAsia="仿宋"/>
          <w:szCs w:val="22"/>
        </w:rPr>
      </w:pPr>
      <w:bookmarkStart w:id="81" w:name="_Toc499124880"/>
      <w:r>
        <w:rPr>
          <w:rFonts w:hint="eastAsia" w:ascii="仿宋" w:hAnsi="仿宋" w:eastAsia="仿宋"/>
          <w:szCs w:val="22"/>
        </w:rPr>
        <w:t>9.2 防治措施</w:t>
      </w:r>
      <w:bookmarkEnd w:id="81"/>
    </w:p>
    <w:p>
      <w:pPr>
        <w:ind w:firstLine="643" w:firstLineChars="200"/>
        <w:jc w:val="left"/>
        <w:rPr>
          <w:rFonts w:ascii="仿宋" w:hAnsi="仿宋" w:eastAsia="仿宋" w:cs="宋体"/>
          <w:color w:val="000000"/>
          <w:sz w:val="32"/>
          <w:szCs w:val="32"/>
        </w:rPr>
      </w:pPr>
      <w:r>
        <w:rPr>
          <w:rFonts w:hint="eastAsia" w:ascii="仿宋" w:hAnsi="仿宋" w:eastAsia="仿宋" w:cs="宋体"/>
          <w:b/>
          <w:bCs/>
          <w:color w:val="000000"/>
          <w:sz w:val="32"/>
          <w:szCs w:val="32"/>
        </w:rPr>
        <w:t>噪声防治。</w:t>
      </w:r>
      <w:r>
        <w:rPr>
          <w:rFonts w:hint="eastAsia" w:ascii="仿宋" w:hAnsi="仿宋" w:eastAsia="仿宋" w:cs="宋体"/>
          <w:color w:val="000000"/>
          <w:sz w:val="32"/>
          <w:szCs w:val="32"/>
        </w:rPr>
        <w:t>施工期间应合理安排作业时间，严禁在夜间和午休时间进行高噪声施工作业；施工时尽量采用低噪声、性能先进的设备，对噪声大的设备要在其周围设置掩蔽物。</w:t>
      </w:r>
    </w:p>
    <w:p>
      <w:pPr>
        <w:ind w:firstLine="643" w:firstLineChars="200"/>
        <w:jc w:val="left"/>
        <w:rPr>
          <w:rFonts w:ascii="仿宋" w:hAnsi="仿宋" w:eastAsia="仿宋" w:cs="宋体"/>
          <w:color w:val="000000"/>
          <w:sz w:val="32"/>
          <w:szCs w:val="32"/>
        </w:rPr>
      </w:pPr>
      <w:r>
        <w:rPr>
          <w:rFonts w:hint="eastAsia" w:ascii="仿宋" w:hAnsi="仿宋" w:eastAsia="仿宋" w:cs="宋体"/>
          <w:b/>
          <w:bCs/>
          <w:color w:val="000000"/>
          <w:sz w:val="32"/>
          <w:szCs w:val="32"/>
        </w:rPr>
        <w:t>泥土和扬尘防治。</w:t>
      </w:r>
      <w:r>
        <w:rPr>
          <w:rFonts w:hint="eastAsia" w:ascii="仿宋" w:hAnsi="仿宋" w:eastAsia="仿宋" w:cs="宋体"/>
          <w:color w:val="000000"/>
          <w:sz w:val="32"/>
          <w:szCs w:val="32"/>
        </w:rPr>
        <w:t>由于施工产生的泥土应集中处理，不随意堆放，泥土运输要做好防护工作，不随意撒落。对施工过程中产生的扬尘，要及时用水喷洒，使扬尘污染降到最低。</w:t>
      </w:r>
    </w:p>
    <w:p>
      <w:pPr>
        <w:ind w:firstLine="643" w:firstLineChars="200"/>
        <w:jc w:val="left"/>
        <w:rPr>
          <w:rFonts w:ascii="仿宋" w:hAnsi="仿宋" w:eastAsia="仿宋" w:cs="宋体"/>
          <w:color w:val="000000"/>
          <w:sz w:val="32"/>
          <w:szCs w:val="32"/>
        </w:rPr>
      </w:pPr>
      <w:r>
        <w:rPr>
          <w:rFonts w:hint="eastAsia" w:ascii="仿宋" w:hAnsi="仿宋" w:eastAsia="仿宋" w:cs="宋体"/>
          <w:b/>
          <w:bCs/>
          <w:color w:val="000000"/>
          <w:sz w:val="32"/>
          <w:szCs w:val="32"/>
        </w:rPr>
        <w:t>固体废弃物处理。</w:t>
      </w:r>
      <w:r>
        <w:rPr>
          <w:rFonts w:hint="eastAsia" w:ascii="仿宋" w:hAnsi="仿宋" w:eastAsia="仿宋" w:cs="宋体"/>
          <w:color w:val="000000"/>
          <w:sz w:val="32"/>
          <w:szCs w:val="32"/>
        </w:rPr>
        <w:t>本项目在施工期间可能会产生少量的固体废弃物，如不及时处理将对周围环境产生影响。因此，在施工过程中要及时对固体废弃物进行集中清理，运送至指定地点统一处理，不得随意堆放。</w:t>
      </w:r>
    </w:p>
    <w:p>
      <w:pPr>
        <w:ind w:firstLine="643" w:firstLineChars="200"/>
        <w:jc w:val="left"/>
        <w:rPr>
          <w:rFonts w:ascii="仿宋" w:hAnsi="仿宋" w:eastAsia="仿宋" w:cs="宋体"/>
          <w:color w:val="000000"/>
          <w:sz w:val="32"/>
          <w:szCs w:val="32"/>
        </w:rPr>
      </w:pPr>
      <w:r>
        <w:rPr>
          <w:rFonts w:hint="eastAsia" w:ascii="仿宋" w:hAnsi="仿宋" w:eastAsia="仿宋" w:cs="宋体"/>
          <w:b/>
          <w:bCs/>
          <w:color w:val="000000"/>
          <w:sz w:val="32"/>
          <w:szCs w:val="32"/>
        </w:rPr>
        <w:t>生活废水和生活垃圾处理。</w:t>
      </w:r>
      <w:r>
        <w:rPr>
          <w:rFonts w:hint="eastAsia" w:ascii="仿宋" w:hAnsi="仿宋" w:eastAsia="仿宋" w:cs="宋体"/>
          <w:color w:val="000000"/>
          <w:sz w:val="32"/>
          <w:szCs w:val="32"/>
        </w:rPr>
        <w:t>项目运营期间人流量较大，用水量大，生活垃圾将会随之增加，如处理不当，可能会对生态环境造成影响。因此项目实施过程中要设计排水管道，修建公共厕所，合理放置垃圾桶，设置垃圾池进行集中处理。</w:t>
      </w:r>
    </w:p>
    <w:p>
      <w:pPr>
        <w:pStyle w:val="2"/>
        <w:numPr>
          <w:ilvl w:val="0"/>
          <w:numId w:val="1"/>
        </w:numPr>
        <w:rPr>
          <w:rFonts w:ascii="仿宋" w:hAnsi="仿宋" w:eastAsia="仿宋"/>
        </w:rPr>
      </w:pPr>
      <w:bookmarkStart w:id="82" w:name="_Toc499124881"/>
      <w:r>
        <w:rPr>
          <w:rFonts w:hint="eastAsia" w:ascii="仿宋" w:hAnsi="仿宋" w:eastAsia="仿宋"/>
        </w:rPr>
        <w:t>风险评估</w:t>
      </w:r>
      <w:bookmarkEnd w:id="82"/>
    </w:p>
    <w:p>
      <w:pPr>
        <w:pStyle w:val="3"/>
        <w:rPr>
          <w:rFonts w:ascii="仿宋" w:hAnsi="仿宋" w:eastAsia="仿宋"/>
        </w:rPr>
      </w:pPr>
      <w:bookmarkStart w:id="83" w:name="_Toc499124882"/>
      <w:r>
        <w:rPr>
          <w:rFonts w:hint="eastAsia" w:ascii="仿宋" w:hAnsi="仿宋" w:eastAsia="仿宋"/>
        </w:rPr>
        <w:t>10.1管理风险</w:t>
      </w:r>
      <w:bookmarkEnd w:id="83"/>
    </w:p>
    <w:p>
      <w:pPr>
        <w:ind w:firstLine="640" w:firstLineChars="200"/>
        <w:jc w:val="left"/>
        <w:rPr>
          <w:rFonts w:ascii="仿宋" w:hAnsi="仿宋" w:eastAsia="仿宋" w:cs="宋体"/>
          <w:color w:val="000000"/>
          <w:sz w:val="32"/>
          <w:szCs w:val="32"/>
        </w:rPr>
      </w:pPr>
      <w:r>
        <w:rPr>
          <w:rFonts w:hint="eastAsia" w:ascii="仿宋" w:hAnsi="仿宋" w:eastAsia="仿宋" w:cs="宋体"/>
          <w:color w:val="000000"/>
          <w:sz w:val="32"/>
          <w:szCs w:val="32"/>
        </w:rPr>
        <w:t>田园综合体建设是一项复杂的工程，它融合了生产、生活与生态，在业态上包含一产二产三产，在功能上包含了农业生产交易、田园休闲体验、乡村生态宜居等，在项目实施和运营过程中，如果管理不善，必将在一定程度上影响项目实施进度，影响项目有效运行。投资者应采取先进管理模式，加强管理，合理调配，保证项目实施顺利进行。</w:t>
      </w:r>
    </w:p>
    <w:p>
      <w:pPr>
        <w:pStyle w:val="3"/>
        <w:rPr>
          <w:rFonts w:ascii="仿宋" w:hAnsi="仿宋" w:eastAsia="仿宋"/>
        </w:rPr>
      </w:pPr>
      <w:bookmarkStart w:id="84" w:name="_Toc499124883"/>
      <w:r>
        <w:rPr>
          <w:rFonts w:hint="eastAsia" w:ascii="仿宋" w:hAnsi="仿宋" w:eastAsia="仿宋"/>
        </w:rPr>
        <w:t>10.2运营风险</w:t>
      </w:r>
      <w:bookmarkEnd w:id="84"/>
    </w:p>
    <w:p>
      <w:pPr>
        <w:ind w:firstLine="640" w:firstLineChars="200"/>
        <w:jc w:val="left"/>
        <w:rPr>
          <w:rFonts w:ascii="仿宋" w:hAnsi="仿宋" w:eastAsia="仿宋" w:cs="宋体"/>
          <w:color w:val="000000"/>
          <w:sz w:val="32"/>
          <w:szCs w:val="32"/>
        </w:rPr>
      </w:pPr>
      <w:r>
        <w:rPr>
          <w:rFonts w:hint="eastAsia" w:ascii="仿宋" w:hAnsi="仿宋" w:eastAsia="仿宋" w:cs="宋体"/>
          <w:color w:val="000000"/>
          <w:sz w:val="32"/>
          <w:szCs w:val="32"/>
        </w:rPr>
        <w:t>田园综合体是一项复杂的工程，也是一个新事物。作为乡村旅游的升级版，在规划上不仅要避免走乡村旅游的老路，更要避免千村一篇的同质化竞争。因此，投资者需要在规划建设、经营管理、运作模式等方面开辟新路径，以赢得行业竞争制高点。</w:t>
      </w:r>
    </w:p>
    <w:p>
      <w:pPr>
        <w:pStyle w:val="3"/>
        <w:rPr>
          <w:rFonts w:ascii="仿宋" w:hAnsi="仿宋" w:eastAsia="仿宋"/>
        </w:rPr>
      </w:pPr>
      <w:bookmarkStart w:id="85" w:name="_Toc499124884"/>
      <w:r>
        <w:rPr>
          <w:rFonts w:hint="eastAsia" w:ascii="仿宋" w:hAnsi="仿宋" w:eastAsia="仿宋"/>
        </w:rPr>
        <w:t>10.3人才风险</w:t>
      </w:r>
      <w:bookmarkEnd w:id="85"/>
    </w:p>
    <w:p>
      <w:pPr>
        <w:ind w:firstLine="640" w:firstLineChars="200"/>
        <w:jc w:val="left"/>
        <w:rPr>
          <w:rFonts w:ascii="仿宋" w:hAnsi="仿宋" w:eastAsia="仿宋" w:cs="宋体"/>
          <w:b/>
          <w:bCs/>
          <w:color w:val="000000"/>
          <w:sz w:val="32"/>
          <w:szCs w:val="32"/>
        </w:rPr>
      </w:pPr>
      <w:r>
        <w:rPr>
          <w:rFonts w:hint="eastAsia" w:ascii="仿宋" w:hAnsi="仿宋" w:eastAsia="仿宋" w:cs="宋体"/>
          <w:color w:val="000000"/>
          <w:sz w:val="32"/>
          <w:szCs w:val="32"/>
        </w:rPr>
        <w:t>项目的经营和管理离不开人才，选择适合自身发展的营运模式，选择适合项目各领域发展所需的人才至关重要。因此，投资者应加强人才管理和人才培训，保障人才供给，提高服务质量，以避免由于人才紧缺和服务质量跟不上带来的不利影响。</w:t>
      </w:r>
    </w:p>
    <w:p>
      <w:pPr>
        <w:pStyle w:val="2"/>
        <w:numPr>
          <w:ilvl w:val="0"/>
          <w:numId w:val="1"/>
        </w:numPr>
        <w:rPr>
          <w:rFonts w:ascii="仿宋" w:hAnsi="仿宋" w:eastAsia="仿宋"/>
        </w:rPr>
      </w:pPr>
      <w:bookmarkStart w:id="86" w:name="_Toc499124885"/>
      <w:r>
        <w:rPr>
          <w:rFonts w:hint="eastAsia" w:ascii="仿宋" w:hAnsi="仿宋" w:eastAsia="仿宋"/>
        </w:rPr>
        <w:t>结论</w:t>
      </w:r>
      <w:bookmarkEnd w:id="86"/>
    </w:p>
    <w:p>
      <w:pPr>
        <w:ind w:firstLine="640" w:firstLineChars="200"/>
        <w:rPr>
          <w:rFonts w:ascii="仿宋" w:hAnsi="仿宋" w:eastAsia="仿宋"/>
          <w:color w:val="0000FF"/>
          <w:sz w:val="32"/>
          <w:szCs w:val="32"/>
        </w:rPr>
      </w:pPr>
      <w:r>
        <w:rPr>
          <w:rFonts w:hint="eastAsia" w:ascii="仿宋" w:hAnsi="仿宋" w:eastAsia="仿宋"/>
          <w:sz w:val="32"/>
          <w:szCs w:val="32"/>
        </w:rPr>
        <w:t>田园综合体不是传统意义上上的乡村建设，也不同于休闲农业体验园，其核心是抓住农民这个主体，开展田园综合体建设，以便有效把政府、资本和市场三方力量糅合到一起，形成田园综合体的理想模式。本项目区位交通便利，旅游资源环境优越，产业基础良好，产业规划合理，发展方向明确，发展前景广阔，是一个值得关注的好项目。</w:t>
      </w:r>
    </w:p>
    <w:p>
      <w:pPr>
        <w:pStyle w:val="2"/>
        <w:numPr>
          <w:ilvl w:val="0"/>
          <w:numId w:val="1"/>
        </w:numPr>
        <w:rPr>
          <w:rFonts w:ascii="仿宋" w:hAnsi="仿宋" w:eastAsia="仿宋"/>
          <w:szCs w:val="22"/>
        </w:rPr>
      </w:pPr>
      <w:bookmarkStart w:id="87" w:name="_Toc499124886"/>
      <w:r>
        <w:rPr>
          <w:rFonts w:hint="eastAsia" w:ascii="仿宋" w:hAnsi="仿宋" w:eastAsia="仿宋"/>
          <w:szCs w:val="22"/>
        </w:rPr>
        <w:t>附表</w:t>
      </w:r>
      <w:bookmarkEnd w:id="87"/>
    </w:p>
    <w:p>
      <w:pPr>
        <w:rPr>
          <w:rFonts w:ascii="仿宋" w:hAnsi="仿宋" w:eastAsia="仿宋"/>
        </w:rPr>
        <w:sectPr>
          <w:footerReference r:id="rId3" w:type="default"/>
          <w:pgSz w:w="11906" w:h="16838"/>
          <w:pgMar w:top="1440" w:right="1800" w:bottom="1440" w:left="1800" w:header="851" w:footer="992" w:gutter="0"/>
          <w:pgNumType w:start="1"/>
          <w:cols w:space="720" w:num="1"/>
          <w:docGrid w:type="lines" w:linePitch="312" w:charSpace="0"/>
        </w:sectPr>
      </w:pPr>
    </w:p>
    <w:p>
      <w:pPr>
        <w:spacing w:line="360" w:lineRule="auto"/>
        <w:rPr>
          <w:rFonts w:ascii="仿宋" w:hAnsi="仿宋" w:eastAsia="仿宋" w:cs="Times New Roman"/>
          <w:color w:val="000000"/>
          <w:sz w:val="30"/>
        </w:rPr>
      </w:pPr>
      <w:r>
        <w:rPr>
          <w:rFonts w:hint="eastAsia" w:ascii="仿宋" w:hAnsi="仿宋" w:eastAsia="仿宋" w:cs="Times New Roman"/>
          <w:color w:val="000000"/>
          <w:sz w:val="30"/>
        </w:rPr>
        <w:t>附表1：资产折旧及摊销估算表（单位：万元）</w:t>
      </w:r>
    </w:p>
    <w:tbl>
      <w:tblPr>
        <w:tblStyle w:val="21"/>
        <w:tblW w:w="152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6"/>
        <w:gridCol w:w="2416"/>
        <w:gridCol w:w="1016"/>
        <w:gridCol w:w="1016"/>
        <w:gridCol w:w="1016"/>
        <w:gridCol w:w="1016"/>
        <w:gridCol w:w="1016"/>
        <w:gridCol w:w="1016"/>
        <w:gridCol w:w="1016"/>
        <w:gridCol w:w="1016"/>
        <w:gridCol w:w="1016"/>
        <w:gridCol w:w="1016"/>
        <w:gridCol w:w="1016"/>
        <w:gridCol w:w="10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序号</w:t>
            </w:r>
          </w:p>
        </w:tc>
        <w:tc>
          <w:tcPr>
            <w:tcW w:w="2416"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项目</w:t>
            </w:r>
          </w:p>
        </w:tc>
        <w:tc>
          <w:tcPr>
            <w:tcW w:w="1016"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折旧年限</w:t>
            </w:r>
          </w:p>
        </w:tc>
        <w:tc>
          <w:tcPr>
            <w:tcW w:w="1016"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投资期</w:t>
            </w:r>
          </w:p>
        </w:tc>
        <w:tc>
          <w:tcPr>
            <w:tcW w:w="10160" w:type="dxa"/>
            <w:gridSpan w:val="10"/>
            <w:tcBorders>
              <w:top w:val="single" w:color="auto" w:sz="4" w:space="0"/>
              <w:left w:val="nil"/>
              <w:bottom w:val="single" w:color="auto" w:sz="4" w:space="0"/>
              <w:right w:val="single" w:color="000000"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营业期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16"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left"/>
              <w:rPr>
                <w:rFonts w:ascii="仿宋" w:hAnsi="仿宋" w:eastAsia="仿宋" w:cs="宋体"/>
                <w:kern w:val="0"/>
                <w:sz w:val="20"/>
                <w:szCs w:val="20"/>
              </w:rPr>
            </w:pPr>
          </w:p>
        </w:tc>
        <w:tc>
          <w:tcPr>
            <w:tcW w:w="2416"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left"/>
              <w:rPr>
                <w:rFonts w:ascii="仿宋" w:hAnsi="仿宋" w:eastAsia="仿宋" w:cs="宋体"/>
                <w:kern w:val="0"/>
                <w:sz w:val="20"/>
                <w:szCs w:val="20"/>
              </w:rPr>
            </w:pPr>
          </w:p>
        </w:tc>
        <w:tc>
          <w:tcPr>
            <w:tcW w:w="1016"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left"/>
              <w:rPr>
                <w:rFonts w:ascii="仿宋" w:hAnsi="仿宋" w:eastAsia="仿宋" w:cs="宋体"/>
                <w:kern w:val="0"/>
                <w:sz w:val="20"/>
                <w:szCs w:val="20"/>
              </w:rPr>
            </w:pP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第</w:t>
            </w:r>
            <w:r>
              <w:rPr>
                <w:rFonts w:ascii="仿宋" w:hAnsi="仿宋" w:eastAsia="仿宋" w:cs="Times New Roman"/>
                <w:kern w:val="0"/>
                <w:sz w:val="20"/>
                <w:szCs w:val="20"/>
              </w:rPr>
              <w:t>1</w:t>
            </w:r>
            <w:r>
              <w:rPr>
                <w:rFonts w:hint="eastAsia" w:ascii="仿宋" w:hAnsi="仿宋" w:eastAsia="仿宋" w:cs="宋体"/>
                <w:kern w:val="0"/>
                <w:sz w:val="20"/>
                <w:szCs w:val="20"/>
              </w:rPr>
              <w:t>年</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第</w:t>
            </w:r>
            <w:r>
              <w:rPr>
                <w:rFonts w:ascii="仿宋" w:hAnsi="仿宋" w:eastAsia="仿宋" w:cs="Times New Roman"/>
                <w:kern w:val="0"/>
                <w:sz w:val="20"/>
                <w:szCs w:val="20"/>
              </w:rPr>
              <w:t>2</w:t>
            </w:r>
            <w:r>
              <w:rPr>
                <w:rFonts w:hint="eastAsia" w:ascii="仿宋" w:hAnsi="仿宋" w:eastAsia="仿宋" w:cs="宋体"/>
                <w:kern w:val="0"/>
                <w:sz w:val="20"/>
                <w:szCs w:val="20"/>
              </w:rPr>
              <w:t>年</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第</w:t>
            </w:r>
            <w:r>
              <w:rPr>
                <w:rFonts w:ascii="仿宋" w:hAnsi="仿宋" w:eastAsia="仿宋" w:cs="Times New Roman"/>
                <w:kern w:val="0"/>
                <w:sz w:val="20"/>
                <w:szCs w:val="20"/>
              </w:rPr>
              <w:t>3</w:t>
            </w:r>
            <w:r>
              <w:rPr>
                <w:rFonts w:hint="eastAsia" w:ascii="仿宋" w:hAnsi="仿宋" w:eastAsia="仿宋" w:cs="宋体"/>
                <w:kern w:val="0"/>
                <w:sz w:val="20"/>
                <w:szCs w:val="20"/>
              </w:rPr>
              <w:t>年</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第</w:t>
            </w:r>
            <w:r>
              <w:rPr>
                <w:rFonts w:ascii="仿宋" w:hAnsi="仿宋" w:eastAsia="仿宋" w:cs="Times New Roman"/>
                <w:kern w:val="0"/>
                <w:sz w:val="20"/>
                <w:szCs w:val="20"/>
              </w:rPr>
              <w:t>4</w:t>
            </w:r>
            <w:r>
              <w:rPr>
                <w:rFonts w:hint="eastAsia" w:ascii="仿宋" w:hAnsi="仿宋" w:eastAsia="仿宋" w:cs="宋体"/>
                <w:kern w:val="0"/>
                <w:sz w:val="20"/>
                <w:szCs w:val="20"/>
              </w:rPr>
              <w:t>年</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第</w:t>
            </w:r>
            <w:r>
              <w:rPr>
                <w:rFonts w:ascii="仿宋" w:hAnsi="仿宋" w:eastAsia="仿宋" w:cs="Times New Roman"/>
                <w:kern w:val="0"/>
                <w:sz w:val="20"/>
                <w:szCs w:val="20"/>
              </w:rPr>
              <w:t>5</w:t>
            </w:r>
            <w:r>
              <w:rPr>
                <w:rFonts w:hint="eastAsia" w:ascii="仿宋" w:hAnsi="仿宋" w:eastAsia="仿宋" w:cs="宋体"/>
                <w:kern w:val="0"/>
                <w:sz w:val="20"/>
                <w:szCs w:val="20"/>
              </w:rPr>
              <w:t>年</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第</w:t>
            </w:r>
            <w:r>
              <w:rPr>
                <w:rFonts w:ascii="仿宋" w:hAnsi="仿宋" w:eastAsia="仿宋" w:cs="Times New Roman"/>
                <w:kern w:val="0"/>
                <w:sz w:val="20"/>
                <w:szCs w:val="20"/>
              </w:rPr>
              <w:t>6年</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第</w:t>
            </w:r>
            <w:r>
              <w:rPr>
                <w:rFonts w:ascii="仿宋" w:hAnsi="仿宋" w:eastAsia="仿宋" w:cs="Times New Roman"/>
                <w:kern w:val="0"/>
                <w:sz w:val="20"/>
                <w:szCs w:val="20"/>
              </w:rPr>
              <w:t>7年</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第</w:t>
            </w:r>
            <w:r>
              <w:rPr>
                <w:rFonts w:ascii="仿宋" w:hAnsi="仿宋" w:eastAsia="仿宋" w:cs="Times New Roman"/>
                <w:kern w:val="0"/>
                <w:sz w:val="20"/>
                <w:szCs w:val="20"/>
              </w:rPr>
              <w:t>8年</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第</w:t>
            </w:r>
            <w:r>
              <w:rPr>
                <w:rFonts w:ascii="仿宋" w:hAnsi="仿宋" w:eastAsia="仿宋" w:cs="Times New Roman"/>
                <w:kern w:val="0"/>
                <w:sz w:val="20"/>
                <w:szCs w:val="20"/>
              </w:rPr>
              <w:t>9年</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第</w:t>
            </w:r>
            <w:r>
              <w:rPr>
                <w:rFonts w:ascii="仿宋" w:hAnsi="仿宋" w:eastAsia="仿宋" w:cs="Times New Roman"/>
                <w:kern w:val="0"/>
                <w:sz w:val="20"/>
                <w:szCs w:val="20"/>
              </w:rPr>
              <w:t>10年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固定资产(基建）</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原值</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10000.00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折旧费</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480.00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480.00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480.00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480.00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480.00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480.00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480.00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480.00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480.00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480.00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净值</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9520.00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9040.00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8560.00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8080.00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7600.00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7120.00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6640.00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6160.00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5680.00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5200.00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固定资产(装修）</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5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原值</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500.00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折旧费</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净值</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400.00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300.00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500.00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400.00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300.00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3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固定资产(设备等）</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原值</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折旧费</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96.00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96.00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96.00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96.00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96.00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96.00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96.00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96.00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96.00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96.00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净值</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904.00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808.00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712.00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616.00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520.00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424.00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328.00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232.00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136.00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40.00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4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无形资产</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50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摊销</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12500.00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净值</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12250.00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12000.00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11750.00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11500.00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11250.00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11000.00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10750.00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10500.00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5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递延资产</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5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摊销</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净值</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0.00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6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无形资产及递延资产合计</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摊销</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250.00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241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 w:val="20"/>
                <w:szCs w:val="20"/>
              </w:rPr>
            </w:pPr>
            <w:r>
              <w:rPr>
                <w:rFonts w:hint="eastAsia" w:ascii="仿宋" w:hAnsi="仿宋" w:eastAsia="仿宋" w:cs="宋体"/>
                <w:kern w:val="0"/>
                <w:sz w:val="20"/>
                <w:szCs w:val="20"/>
              </w:rPr>
              <w:t>净值</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12250.00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12000.00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11750.00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11500.00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11250.00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11000.00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10750.00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10500.00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10250.00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10000.00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7 </w:t>
            </w:r>
          </w:p>
        </w:tc>
        <w:tc>
          <w:tcPr>
            <w:tcW w:w="24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合计</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826.00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826.00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826.00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826.00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826.00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826.00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826.00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826.00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826.00 </w:t>
            </w:r>
          </w:p>
        </w:tc>
        <w:tc>
          <w:tcPr>
            <w:tcW w:w="101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826.00 </w:t>
            </w:r>
          </w:p>
        </w:tc>
      </w:tr>
    </w:tbl>
    <w:p>
      <w:pPr>
        <w:spacing w:line="360" w:lineRule="auto"/>
        <w:rPr>
          <w:rFonts w:ascii="仿宋" w:hAnsi="仿宋" w:eastAsia="仿宋" w:cs="Times New Roman"/>
          <w:color w:val="000000"/>
          <w:sz w:val="30"/>
        </w:rPr>
      </w:pPr>
      <w:r>
        <w:rPr>
          <w:rFonts w:ascii="仿宋" w:hAnsi="仿宋" w:eastAsia="仿宋" w:cs="Times New Roman"/>
          <w:color w:val="000000"/>
          <w:sz w:val="30"/>
        </w:rPr>
        <w:br w:type="page"/>
      </w:r>
      <w:r>
        <w:rPr>
          <w:rFonts w:hint="eastAsia" w:ascii="仿宋" w:hAnsi="仿宋" w:eastAsia="仿宋" w:cs="Times New Roman"/>
          <w:color w:val="000000"/>
          <w:sz w:val="30"/>
        </w:rPr>
        <w:t>附表</w:t>
      </w:r>
      <w:r>
        <w:rPr>
          <w:rFonts w:ascii="仿宋" w:hAnsi="仿宋" w:eastAsia="仿宋" w:cs="Times New Roman"/>
          <w:color w:val="000000"/>
          <w:sz w:val="30"/>
        </w:rPr>
        <w:t>２</w:t>
      </w:r>
      <w:r>
        <w:rPr>
          <w:rFonts w:hint="eastAsia" w:ascii="仿宋" w:hAnsi="仿宋" w:eastAsia="仿宋" w:cs="Times New Roman"/>
          <w:color w:val="000000"/>
          <w:sz w:val="30"/>
        </w:rPr>
        <w:t>：成本及费用估算表（单位：万元）</w:t>
      </w:r>
    </w:p>
    <w:tbl>
      <w:tblPr>
        <w:tblStyle w:val="21"/>
        <w:tblW w:w="128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896"/>
        <w:gridCol w:w="846"/>
        <w:gridCol w:w="951"/>
        <w:gridCol w:w="951"/>
        <w:gridCol w:w="951"/>
        <w:gridCol w:w="951"/>
        <w:gridCol w:w="951"/>
        <w:gridCol w:w="951"/>
        <w:gridCol w:w="951"/>
        <w:gridCol w:w="951"/>
        <w:gridCol w:w="951"/>
        <w:gridCol w:w="9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序号</w:t>
            </w:r>
          </w:p>
        </w:tc>
        <w:tc>
          <w:tcPr>
            <w:tcW w:w="1896"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项目</w:t>
            </w:r>
          </w:p>
        </w:tc>
        <w:tc>
          <w:tcPr>
            <w:tcW w:w="846" w:type="dxa"/>
            <w:tcBorders>
              <w:top w:val="single" w:color="auto" w:sz="4" w:space="0"/>
              <w:left w:val="nil"/>
              <w:bottom w:val="single" w:color="auto" w:sz="4" w:space="0"/>
              <w:right w:val="nil"/>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投资期</w:t>
            </w:r>
          </w:p>
        </w:tc>
        <w:tc>
          <w:tcPr>
            <w:tcW w:w="1902" w:type="dxa"/>
            <w:gridSpan w:val="2"/>
            <w:tcBorders>
              <w:top w:val="single" w:color="auto" w:sz="4" w:space="0"/>
              <w:left w:val="single" w:color="auto" w:sz="4" w:space="0"/>
              <w:bottom w:val="single" w:color="auto" w:sz="4" w:space="0"/>
              <w:right w:val="single" w:color="000000"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投产期</w:t>
            </w:r>
          </w:p>
        </w:tc>
        <w:tc>
          <w:tcPr>
            <w:tcW w:w="7608" w:type="dxa"/>
            <w:gridSpan w:val="8"/>
            <w:tcBorders>
              <w:top w:val="single" w:color="auto" w:sz="4" w:space="0"/>
              <w:left w:val="nil"/>
              <w:bottom w:val="single" w:color="auto" w:sz="4" w:space="0"/>
              <w:right w:val="single" w:color="000000"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营业期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36"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left"/>
              <w:rPr>
                <w:rFonts w:ascii="仿宋" w:hAnsi="仿宋" w:eastAsia="仿宋" w:cs="宋体"/>
                <w:kern w:val="0"/>
                <w:szCs w:val="21"/>
              </w:rPr>
            </w:pPr>
          </w:p>
        </w:tc>
        <w:tc>
          <w:tcPr>
            <w:tcW w:w="1896"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left"/>
              <w:rPr>
                <w:rFonts w:ascii="仿宋" w:hAnsi="仿宋" w:eastAsia="仿宋" w:cs="宋体"/>
                <w:kern w:val="0"/>
                <w:szCs w:val="21"/>
              </w:rPr>
            </w:pP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0</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1</w:t>
            </w:r>
            <w:r>
              <w:rPr>
                <w:rFonts w:hint="eastAsia" w:ascii="仿宋" w:hAnsi="仿宋" w:eastAsia="仿宋" w:cs="宋体"/>
                <w:kern w:val="0"/>
                <w:szCs w:val="21"/>
              </w:rPr>
              <w:t>年</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2</w:t>
            </w:r>
            <w:r>
              <w:rPr>
                <w:rFonts w:hint="eastAsia" w:ascii="仿宋" w:hAnsi="仿宋" w:eastAsia="仿宋" w:cs="宋体"/>
                <w:kern w:val="0"/>
                <w:szCs w:val="21"/>
              </w:rPr>
              <w:t>年</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3</w:t>
            </w:r>
            <w:r>
              <w:rPr>
                <w:rFonts w:hint="eastAsia" w:ascii="仿宋" w:hAnsi="仿宋" w:eastAsia="仿宋" w:cs="宋体"/>
                <w:kern w:val="0"/>
                <w:szCs w:val="21"/>
              </w:rPr>
              <w:t>年</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4</w:t>
            </w:r>
            <w:r>
              <w:rPr>
                <w:rFonts w:hint="eastAsia" w:ascii="仿宋" w:hAnsi="仿宋" w:eastAsia="仿宋" w:cs="宋体"/>
                <w:kern w:val="0"/>
                <w:szCs w:val="21"/>
              </w:rPr>
              <w:t>年</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5</w:t>
            </w:r>
            <w:r>
              <w:rPr>
                <w:rFonts w:hint="eastAsia" w:ascii="仿宋" w:hAnsi="仿宋" w:eastAsia="仿宋" w:cs="宋体"/>
                <w:kern w:val="0"/>
                <w:szCs w:val="21"/>
              </w:rPr>
              <w:t>年</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6年</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7年</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8年</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9年</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10年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1</w:t>
            </w:r>
          </w:p>
        </w:tc>
        <w:tc>
          <w:tcPr>
            <w:tcW w:w="189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宋体"/>
                <w:kern w:val="0"/>
                <w:szCs w:val="21"/>
              </w:rPr>
            </w:pPr>
            <w:r>
              <w:rPr>
                <w:rFonts w:hint="eastAsia" w:ascii="仿宋" w:hAnsi="仿宋" w:eastAsia="仿宋" w:cs="宋体"/>
                <w:kern w:val="0"/>
                <w:szCs w:val="21"/>
              </w:rPr>
              <w:t>直接材料</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2</w:t>
            </w:r>
          </w:p>
        </w:tc>
        <w:tc>
          <w:tcPr>
            <w:tcW w:w="189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宋体"/>
                <w:kern w:val="0"/>
                <w:szCs w:val="21"/>
              </w:rPr>
            </w:pPr>
            <w:r>
              <w:rPr>
                <w:rFonts w:hint="eastAsia" w:ascii="仿宋" w:hAnsi="仿宋" w:eastAsia="仿宋" w:cs="宋体"/>
                <w:kern w:val="0"/>
                <w:szCs w:val="21"/>
              </w:rPr>
              <w:t>直接人工</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600.00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618.00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636.54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655.64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675.31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695.56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716.43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737.92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760.06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782.86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3</w:t>
            </w:r>
          </w:p>
        </w:tc>
        <w:tc>
          <w:tcPr>
            <w:tcW w:w="189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外购燃料及动力</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93.00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124.00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155.00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155.00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155.00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155.00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155.00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155.00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155.00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4</w:t>
            </w:r>
          </w:p>
        </w:tc>
        <w:tc>
          <w:tcPr>
            <w:tcW w:w="189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宋体"/>
                <w:kern w:val="0"/>
                <w:szCs w:val="21"/>
              </w:rPr>
            </w:pPr>
            <w:r>
              <w:rPr>
                <w:rFonts w:hint="eastAsia" w:ascii="仿宋" w:hAnsi="仿宋" w:eastAsia="仿宋" w:cs="宋体"/>
                <w:kern w:val="0"/>
                <w:szCs w:val="21"/>
              </w:rPr>
              <w:t>制造费用</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867.30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867.30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867.30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867.30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867.30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867.30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867.30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867.30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867.30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867.30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4.1</w:t>
            </w:r>
          </w:p>
        </w:tc>
        <w:tc>
          <w:tcPr>
            <w:tcW w:w="189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修理费</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41.30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41.30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41.30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41.30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41.30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41.30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41.30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41.30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41.30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41.30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4.2</w:t>
            </w:r>
          </w:p>
        </w:tc>
        <w:tc>
          <w:tcPr>
            <w:tcW w:w="189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折旧及摊销费</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826.00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826.00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826.00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826.00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826.00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826.00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826.00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826.00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826.00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826.00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5</w:t>
            </w:r>
          </w:p>
        </w:tc>
        <w:tc>
          <w:tcPr>
            <w:tcW w:w="189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财务费用</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6</w:t>
            </w:r>
          </w:p>
        </w:tc>
        <w:tc>
          <w:tcPr>
            <w:tcW w:w="189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管理费用</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110.00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130.00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6.1</w:t>
            </w:r>
          </w:p>
        </w:tc>
        <w:tc>
          <w:tcPr>
            <w:tcW w:w="189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宋体"/>
                <w:kern w:val="0"/>
                <w:szCs w:val="21"/>
              </w:rPr>
            </w:pPr>
            <w:r>
              <w:rPr>
                <w:rFonts w:hint="eastAsia" w:ascii="仿宋" w:hAnsi="仿宋" w:eastAsia="仿宋" w:cs="宋体"/>
                <w:kern w:val="0"/>
                <w:szCs w:val="21"/>
              </w:rPr>
              <w:t>固定产生管理费</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6.2</w:t>
            </w:r>
          </w:p>
        </w:tc>
        <w:tc>
          <w:tcPr>
            <w:tcW w:w="189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宋体"/>
                <w:kern w:val="0"/>
                <w:szCs w:val="21"/>
              </w:rPr>
            </w:pPr>
            <w:r>
              <w:rPr>
                <w:rFonts w:hint="eastAsia" w:ascii="仿宋" w:hAnsi="仿宋" w:eastAsia="仿宋" w:cs="宋体"/>
                <w:kern w:val="0"/>
                <w:szCs w:val="21"/>
              </w:rPr>
              <w:t>期间管理费用</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60.00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7</w:t>
            </w:r>
          </w:p>
        </w:tc>
        <w:tc>
          <w:tcPr>
            <w:tcW w:w="189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宋体"/>
                <w:kern w:val="0"/>
                <w:szCs w:val="21"/>
              </w:rPr>
            </w:pPr>
            <w:r>
              <w:rPr>
                <w:rFonts w:hint="eastAsia" w:ascii="仿宋" w:hAnsi="仿宋" w:eastAsia="仿宋" w:cs="宋体"/>
                <w:kern w:val="0"/>
                <w:szCs w:val="21"/>
              </w:rPr>
              <w:t>销售费用</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60.00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7.1</w:t>
            </w:r>
          </w:p>
        </w:tc>
        <w:tc>
          <w:tcPr>
            <w:tcW w:w="189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宋体"/>
                <w:kern w:val="0"/>
                <w:szCs w:val="21"/>
              </w:rPr>
            </w:pPr>
            <w:r>
              <w:rPr>
                <w:rFonts w:hint="eastAsia" w:ascii="仿宋" w:hAnsi="仿宋" w:eastAsia="仿宋" w:cs="宋体"/>
                <w:kern w:val="0"/>
                <w:szCs w:val="21"/>
              </w:rPr>
              <w:t>固定产生销售费用</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7.2</w:t>
            </w:r>
          </w:p>
        </w:tc>
        <w:tc>
          <w:tcPr>
            <w:tcW w:w="189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宋体"/>
                <w:kern w:val="0"/>
                <w:szCs w:val="21"/>
              </w:rPr>
            </w:pPr>
            <w:r>
              <w:rPr>
                <w:rFonts w:hint="eastAsia" w:ascii="仿宋" w:hAnsi="仿宋" w:eastAsia="仿宋" w:cs="宋体"/>
                <w:kern w:val="0"/>
                <w:szCs w:val="21"/>
              </w:rPr>
              <w:t>期间销售费用</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60.00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8</w:t>
            </w:r>
          </w:p>
        </w:tc>
        <w:tc>
          <w:tcPr>
            <w:tcW w:w="189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总成本费用</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1730.30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1819.30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1908.84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1927.94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1947.61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1967.86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1988.73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2010.22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2032.36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2055.16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8.1</w:t>
            </w:r>
          </w:p>
        </w:tc>
        <w:tc>
          <w:tcPr>
            <w:tcW w:w="189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固定成本</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1517.30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1535.30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1553.84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1572.94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1592.61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1612.86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1633.73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1655.22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1677.36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1700.16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8.2</w:t>
            </w:r>
          </w:p>
        </w:tc>
        <w:tc>
          <w:tcPr>
            <w:tcW w:w="189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变动成本</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213.00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284.00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355.00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355.00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355.00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355.00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355.00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355.00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355.00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9</w:t>
            </w:r>
          </w:p>
        </w:tc>
        <w:tc>
          <w:tcPr>
            <w:tcW w:w="189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经营成本</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904.30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993.30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1082.84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1101.94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1121.61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1141.86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1162.73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1184.22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1206.36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1229.16 </w:t>
            </w:r>
          </w:p>
        </w:tc>
      </w:tr>
    </w:tbl>
    <w:p>
      <w:pPr>
        <w:spacing w:line="360" w:lineRule="auto"/>
        <w:rPr>
          <w:rFonts w:ascii="仿宋" w:hAnsi="仿宋" w:eastAsia="仿宋" w:cs="Times New Roman"/>
          <w:color w:val="000000"/>
          <w:sz w:val="30"/>
        </w:rPr>
      </w:pPr>
      <w:r>
        <w:rPr>
          <w:rFonts w:ascii="仿宋" w:hAnsi="仿宋" w:eastAsia="仿宋" w:cs="Times New Roman"/>
          <w:color w:val="000000"/>
          <w:sz w:val="30"/>
        </w:rPr>
        <w:br w:type="page"/>
      </w:r>
      <w:r>
        <w:rPr>
          <w:rFonts w:hint="eastAsia" w:ascii="仿宋" w:hAnsi="仿宋" w:eastAsia="仿宋" w:cs="Times New Roman"/>
          <w:color w:val="000000"/>
          <w:sz w:val="30"/>
        </w:rPr>
        <w:t>附表3：燃料及动力消耗估算表（单位：万元）</w:t>
      </w:r>
    </w:p>
    <w:tbl>
      <w:tblPr>
        <w:tblStyle w:val="21"/>
        <w:tblW w:w="12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636"/>
        <w:gridCol w:w="426"/>
        <w:gridCol w:w="1214"/>
        <w:gridCol w:w="846"/>
        <w:gridCol w:w="846"/>
        <w:gridCol w:w="846"/>
        <w:gridCol w:w="846"/>
        <w:gridCol w:w="846"/>
        <w:gridCol w:w="846"/>
        <w:gridCol w:w="846"/>
        <w:gridCol w:w="846"/>
        <w:gridCol w:w="846"/>
        <w:gridCol w:w="846"/>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36" w:type="dxa"/>
            <w:vMerge w:val="restart"/>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序号</w:t>
            </w:r>
          </w:p>
        </w:tc>
        <w:tc>
          <w:tcPr>
            <w:tcW w:w="1062" w:type="dxa"/>
            <w:gridSpan w:val="2"/>
            <w:vMerge w:val="restart"/>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名称</w:t>
            </w:r>
          </w:p>
        </w:tc>
        <w:tc>
          <w:tcPr>
            <w:tcW w:w="1214" w:type="dxa"/>
            <w:vMerge w:val="restart"/>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单价</w:t>
            </w:r>
          </w:p>
        </w:tc>
        <w:tc>
          <w:tcPr>
            <w:tcW w:w="846"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投资期</w:t>
            </w:r>
          </w:p>
        </w:tc>
        <w:tc>
          <w:tcPr>
            <w:tcW w:w="1692" w:type="dxa"/>
            <w:gridSpan w:val="2"/>
            <w:vAlign w:val="center"/>
          </w:tcPr>
          <w:p>
            <w:pPr>
              <w:widowControl/>
              <w:jc w:val="center"/>
              <w:rPr>
                <w:rFonts w:ascii="仿宋" w:hAnsi="仿宋" w:eastAsia="仿宋" w:cs="宋体"/>
                <w:kern w:val="0"/>
                <w:szCs w:val="21"/>
              </w:rPr>
            </w:pPr>
            <w:r>
              <w:rPr>
                <w:rFonts w:hint="eastAsia" w:ascii="仿宋" w:hAnsi="仿宋" w:eastAsia="仿宋" w:cs="宋体"/>
                <w:kern w:val="0"/>
                <w:szCs w:val="21"/>
              </w:rPr>
              <w:t>投产期</w:t>
            </w:r>
          </w:p>
        </w:tc>
        <w:tc>
          <w:tcPr>
            <w:tcW w:w="6873" w:type="dxa"/>
            <w:gridSpan w:val="8"/>
            <w:vAlign w:val="center"/>
          </w:tcPr>
          <w:p>
            <w:pPr>
              <w:widowControl/>
              <w:jc w:val="center"/>
              <w:rPr>
                <w:rFonts w:ascii="仿宋" w:hAnsi="仿宋" w:eastAsia="仿宋" w:cs="宋体"/>
                <w:kern w:val="0"/>
                <w:szCs w:val="21"/>
              </w:rPr>
            </w:pPr>
            <w:r>
              <w:rPr>
                <w:rFonts w:hint="eastAsia" w:ascii="仿宋" w:hAnsi="仿宋" w:eastAsia="仿宋" w:cs="宋体"/>
                <w:kern w:val="0"/>
                <w:szCs w:val="21"/>
              </w:rPr>
              <w:t>营业期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36" w:type="dxa"/>
            <w:vMerge w:val="continue"/>
            <w:shd w:val="clear" w:color="auto" w:fill="auto"/>
            <w:vAlign w:val="center"/>
          </w:tcPr>
          <w:p>
            <w:pPr>
              <w:widowControl/>
              <w:jc w:val="left"/>
              <w:rPr>
                <w:rFonts w:ascii="仿宋" w:hAnsi="仿宋" w:eastAsia="仿宋" w:cs="宋体"/>
                <w:kern w:val="0"/>
                <w:szCs w:val="21"/>
              </w:rPr>
            </w:pPr>
          </w:p>
        </w:tc>
        <w:tc>
          <w:tcPr>
            <w:tcW w:w="1062" w:type="dxa"/>
            <w:gridSpan w:val="2"/>
            <w:vMerge w:val="continue"/>
            <w:shd w:val="clear" w:color="auto" w:fill="auto"/>
            <w:vAlign w:val="center"/>
          </w:tcPr>
          <w:p>
            <w:pPr>
              <w:widowControl/>
              <w:jc w:val="left"/>
              <w:rPr>
                <w:rFonts w:ascii="仿宋" w:hAnsi="仿宋" w:eastAsia="仿宋" w:cs="宋体"/>
                <w:kern w:val="0"/>
                <w:szCs w:val="21"/>
              </w:rPr>
            </w:pPr>
          </w:p>
        </w:tc>
        <w:tc>
          <w:tcPr>
            <w:tcW w:w="1214" w:type="dxa"/>
            <w:vMerge w:val="continue"/>
            <w:shd w:val="clear" w:color="auto" w:fill="auto"/>
            <w:vAlign w:val="center"/>
          </w:tcPr>
          <w:p>
            <w:pPr>
              <w:widowControl/>
              <w:jc w:val="left"/>
              <w:rPr>
                <w:rFonts w:ascii="仿宋" w:hAnsi="仿宋" w:eastAsia="仿宋" w:cs="宋体"/>
                <w:kern w:val="0"/>
                <w:szCs w:val="21"/>
              </w:rPr>
            </w:pP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0</w:t>
            </w:r>
          </w:p>
        </w:tc>
        <w:tc>
          <w:tcPr>
            <w:tcW w:w="846"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第1年</w:t>
            </w:r>
          </w:p>
        </w:tc>
        <w:tc>
          <w:tcPr>
            <w:tcW w:w="846"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第2年</w:t>
            </w:r>
          </w:p>
        </w:tc>
        <w:tc>
          <w:tcPr>
            <w:tcW w:w="846"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第3年</w:t>
            </w:r>
          </w:p>
        </w:tc>
        <w:tc>
          <w:tcPr>
            <w:tcW w:w="846"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第4年</w:t>
            </w:r>
          </w:p>
        </w:tc>
        <w:tc>
          <w:tcPr>
            <w:tcW w:w="846"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第5年</w:t>
            </w:r>
          </w:p>
        </w:tc>
        <w:tc>
          <w:tcPr>
            <w:tcW w:w="846"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第6年</w:t>
            </w:r>
          </w:p>
        </w:tc>
        <w:tc>
          <w:tcPr>
            <w:tcW w:w="846"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第7年</w:t>
            </w:r>
          </w:p>
        </w:tc>
        <w:tc>
          <w:tcPr>
            <w:tcW w:w="846"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第8年</w:t>
            </w:r>
          </w:p>
        </w:tc>
        <w:tc>
          <w:tcPr>
            <w:tcW w:w="846"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第9年</w:t>
            </w:r>
          </w:p>
        </w:tc>
        <w:tc>
          <w:tcPr>
            <w:tcW w:w="951"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第10年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6" w:type="dxa"/>
            <w:vMerge w:val="restart"/>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636" w:type="dxa"/>
            <w:vMerge w:val="restart"/>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燃料</w:t>
            </w:r>
          </w:p>
        </w:tc>
        <w:tc>
          <w:tcPr>
            <w:tcW w:w="42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21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6" w:type="dxa"/>
            <w:vMerge w:val="continue"/>
            <w:shd w:val="clear" w:color="auto" w:fill="auto"/>
            <w:vAlign w:val="center"/>
          </w:tcPr>
          <w:p>
            <w:pPr>
              <w:widowControl/>
              <w:jc w:val="left"/>
              <w:rPr>
                <w:rFonts w:ascii="仿宋" w:hAnsi="仿宋" w:eastAsia="仿宋" w:cs="宋体"/>
                <w:kern w:val="0"/>
                <w:szCs w:val="21"/>
              </w:rPr>
            </w:pPr>
          </w:p>
        </w:tc>
        <w:tc>
          <w:tcPr>
            <w:tcW w:w="636" w:type="dxa"/>
            <w:vMerge w:val="continue"/>
            <w:shd w:val="clear" w:color="auto" w:fill="auto"/>
            <w:vAlign w:val="center"/>
          </w:tcPr>
          <w:p>
            <w:pPr>
              <w:widowControl/>
              <w:jc w:val="left"/>
              <w:rPr>
                <w:rFonts w:ascii="仿宋" w:hAnsi="仿宋" w:eastAsia="仿宋" w:cs="宋体"/>
                <w:kern w:val="0"/>
                <w:szCs w:val="21"/>
              </w:rPr>
            </w:pPr>
          </w:p>
        </w:tc>
        <w:tc>
          <w:tcPr>
            <w:tcW w:w="42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21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36" w:type="dxa"/>
            <w:vMerge w:val="restart"/>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636" w:type="dxa"/>
            <w:vMerge w:val="restart"/>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水电</w:t>
            </w:r>
          </w:p>
        </w:tc>
        <w:tc>
          <w:tcPr>
            <w:tcW w:w="42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水</w:t>
            </w:r>
          </w:p>
        </w:tc>
        <w:tc>
          <w:tcPr>
            <w:tcW w:w="121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3.00元/吨</w:t>
            </w:r>
          </w:p>
        </w:tc>
        <w:tc>
          <w:tcPr>
            <w:tcW w:w="846"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21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28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35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35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35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35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35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35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35 </w:t>
            </w:r>
          </w:p>
        </w:tc>
        <w:tc>
          <w:tcPr>
            <w:tcW w:w="95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36" w:type="dxa"/>
            <w:vMerge w:val="continue"/>
            <w:shd w:val="clear" w:color="auto" w:fill="auto"/>
            <w:vAlign w:val="center"/>
          </w:tcPr>
          <w:p>
            <w:pPr>
              <w:widowControl/>
              <w:jc w:val="left"/>
              <w:rPr>
                <w:rFonts w:ascii="仿宋" w:hAnsi="仿宋" w:eastAsia="仿宋" w:cs="宋体"/>
                <w:kern w:val="0"/>
                <w:szCs w:val="21"/>
              </w:rPr>
            </w:pPr>
          </w:p>
        </w:tc>
        <w:tc>
          <w:tcPr>
            <w:tcW w:w="636" w:type="dxa"/>
            <w:vMerge w:val="continue"/>
            <w:shd w:val="clear" w:color="auto" w:fill="auto"/>
            <w:vAlign w:val="center"/>
          </w:tcPr>
          <w:p>
            <w:pPr>
              <w:widowControl/>
              <w:jc w:val="left"/>
              <w:rPr>
                <w:rFonts w:ascii="仿宋" w:hAnsi="仿宋" w:eastAsia="仿宋" w:cs="宋体"/>
                <w:kern w:val="0"/>
                <w:szCs w:val="21"/>
              </w:rPr>
            </w:pPr>
          </w:p>
        </w:tc>
        <w:tc>
          <w:tcPr>
            <w:tcW w:w="42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电</w:t>
            </w:r>
          </w:p>
        </w:tc>
        <w:tc>
          <w:tcPr>
            <w:tcW w:w="121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0.52元/度</w:t>
            </w:r>
          </w:p>
        </w:tc>
        <w:tc>
          <w:tcPr>
            <w:tcW w:w="846"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72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96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120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120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120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120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120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120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120 </w:t>
            </w:r>
          </w:p>
        </w:tc>
        <w:tc>
          <w:tcPr>
            <w:tcW w:w="95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72" w:type="dxa"/>
            <w:gridSpan w:val="2"/>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合计</w:t>
            </w:r>
          </w:p>
        </w:tc>
        <w:tc>
          <w:tcPr>
            <w:tcW w:w="42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21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93 </w:t>
            </w:r>
          </w:p>
        </w:tc>
        <w:tc>
          <w:tcPr>
            <w:tcW w:w="846" w:type="dxa"/>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124 </w:t>
            </w:r>
          </w:p>
        </w:tc>
        <w:tc>
          <w:tcPr>
            <w:tcW w:w="84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155 </w:t>
            </w:r>
          </w:p>
        </w:tc>
        <w:tc>
          <w:tcPr>
            <w:tcW w:w="846"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155 </w:t>
            </w:r>
          </w:p>
        </w:tc>
        <w:tc>
          <w:tcPr>
            <w:tcW w:w="846"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155 </w:t>
            </w:r>
          </w:p>
        </w:tc>
        <w:tc>
          <w:tcPr>
            <w:tcW w:w="846"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155 </w:t>
            </w:r>
          </w:p>
        </w:tc>
        <w:tc>
          <w:tcPr>
            <w:tcW w:w="846"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155 </w:t>
            </w:r>
          </w:p>
        </w:tc>
        <w:tc>
          <w:tcPr>
            <w:tcW w:w="846"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155 </w:t>
            </w:r>
          </w:p>
        </w:tc>
        <w:tc>
          <w:tcPr>
            <w:tcW w:w="846"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155 </w:t>
            </w:r>
          </w:p>
        </w:tc>
        <w:tc>
          <w:tcPr>
            <w:tcW w:w="951"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155 </w:t>
            </w:r>
          </w:p>
        </w:tc>
      </w:tr>
    </w:tbl>
    <w:p>
      <w:pPr>
        <w:spacing w:line="360" w:lineRule="auto"/>
        <w:rPr>
          <w:rFonts w:ascii="仿宋" w:hAnsi="仿宋" w:eastAsia="仿宋" w:cs="Times New Roman"/>
          <w:color w:val="000000"/>
          <w:sz w:val="30"/>
        </w:rPr>
      </w:pPr>
    </w:p>
    <w:p>
      <w:pPr>
        <w:spacing w:line="360" w:lineRule="auto"/>
        <w:rPr>
          <w:rFonts w:ascii="仿宋" w:hAnsi="仿宋" w:eastAsia="仿宋" w:cs="Times New Roman"/>
          <w:color w:val="000000"/>
          <w:sz w:val="30"/>
        </w:rPr>
      </w:pPr>
      <w:r>
        <w:rPr>
          <w:rFonts w:hint="eastAsia" w:ascii="仿宋" w:hAnsi="仿宋" w:eastAsia="仿宋" w:cs="Times New Roman"/>
          <w:color w:val="000000"/>
          <w:sz w:val="30"/>
        </w:rPr>
        <w:t>附表4：收入估算表（单位：万元）</w:t>
      </w:r>
    </w:p>
    <w:tbl>
      <w:tblPr>
        <w:tblStyle w:val="21"/>
        <w:tblW w:w="126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76"/>
        <w:gridCol w:w="846"/>
        <w:gridCol w:w="951"/>
        <w:gridCol w:w="951"/>
        <w:gridCol w:w="1056"/>
        <w:gridCol w:w="1056"/>
        <w:gridCol w:w="1056"/>
        <w:gridCol w:w="1056"/>
        <w:gridCol w:w="1056"/>
        <w:gridCol w:w="1056"/>
        <w:gridCol w:w="1056"/>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476"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项目</w:t>
            </w:r>
          </w:p>
        </w:tc>
        <w:tc>
          <w:tcPr>
            <w:tcW w:w="846"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投资期</w:t>
            </w:r>
          </w:p>
        </w:tc>
        <w:tc>
          <w:tcPr>
            <w:tcW w:w="1902" w:type="dxa"/>
            <w:gridSpan w:val="2"/>
            <w:tcBorders>
              <w:top w:val="single" w:color="auto" w:sz="4" w:space="0"/>
              <w:left w:val="nil"/>
              <w:bottom w:val="single" w:color="auto" w:sz="4" w:space="0"/>
              <w:right w:val="single" w:color="000000"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投产期</w:t>
            </w:r>
          </w:p>
        </w:tc>
        <w:tc>
          <w:tcPr>
            <w:tcW w:w="8448" w:type="dxa"/>
            <w:gridSpan w:val="8"/>
            <w:tcBorders>
              <w:top w:val="single" w:color="auto" w:sz="4" w:space="0"/>
              <w:left w:val="nil"/>
              <w:bottom w:val="single" w:color="auto" w:sz="4" w:space="0"/>
              <w:right w:val="single" w:color="000000"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营业期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47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Cs w:val="21"/>
              </w:rPr>
            </w:pPr>
          </w:p>
        </w:tc>
        <w:tc>
          <w:tcPr>
            <w:tcW w:w="84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0</w:t>
            </w:r>
          </w:p>
        </w:tc>
        <w:tc>
          <w:tcPr>
            <w:tcW w:w="95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第1年</w:t>
            </w:r>
          </w:p>
        </w:tc>
        <w:tc>
          <w:tcPr>
            <w:tcW w:w="95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第2年</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第3年</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第4年</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第5年</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第6年</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第7年</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第8年</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第9年</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第10年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2672" w:type="dxa"/>
            <w:gridSpan w:val="12"/>
            <w:tcBorders>
              <w:top w:val="single" w:color="auto" w:sz="4" w:space="0"/>
              <w:left w:val="single" w:color="auto" w:sz="4" w:space="0"/>
              <w:bottom w:val="single" w:color="auto" w:sz="4" w:space="0"/>
              <w:right w:val="single" w:color="000000" w:sz="4" w:space="0"/>
            </w:tcBorders>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xml:space="preserve">征 税 收 入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76"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承租管理收入</w:t>
            </w:r>
          </w:p>
        </w:tc>
        <w:tc>
          <w:tcPr>
            <w:tcW w:w="846" w:type="dxa"/>
            <w:tcBorders>
              <w:top w:val="nil"/>
              <w:left w:val="nil"/>
              <w:bottom w:val="single" w:color="auto" w:sz="4" w:space="0"/>
              <w:right w:val="single" w:color="auto" w:sz="4" w:space="0"/>
            </w:tcBorders>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6000.00 </w:t>
            </w:r>
          </w:p>
        </w:tc>
        <w:tc>
          <w:tcPr>
            <w:tcW w:w="951" w:type="dxa"/>
            <w:tcBorders>
              <w:top w:val="nil"/>
              <w:left w:val="nil"/>
              <w:bottom w:val="single" w:color="auto" w:sz="4" w:space="0"/>
              <w:right w:val="single" w:color="auto" w:sz="4" w:space="0"/>
            </w:tcBorders>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8000.00 </w:t>
            </w:r>
          </w:p>
        </w:tc>
        <w:tc>
          <w:tcPr>
            <w:tcW w:w="1056" w:type="dxa"/>
            <w:tcBorders>
              <w:top w:val="nil"/>
              <w:left w:val="nil"/>
              <w:bottom w:val="single" w:color="auto" w:sz="4" w:space="0"/>
              <w:right w:val="single" w:color="auto" w:sz="4" w:space="0"/>
            </w:tcBorders>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476"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征税收入合计</w:t>
            </w:r>
          </w:p>
        </w:tc>
        <w:tc>
          <w:tcPr>
            <w:tcW w:w="84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6000.00 </w:t>
            </w:r>
          </w:p>
        </w:tc>
        <w:tc>
          <w:tcPr>
            <w:tcW w:w="95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8000.00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2672" w:type="dxa"/>
            <w:gridSpan w:val="12"/>
            <w:tcBorders>
              <w:top w:val="single" w:color="auto" w:sz="4" w:space="0"/>
              <w:left w:val="single" w:color="auto" w:sz="4" w:space="0"/>
              <w:bottom w:val="single" w:color="auto" w:sz="4" w:space="0"/>
              <w:right w:val="single" w:color="000000" w:sz="4" w:space="0"/>
            </w:tcBorders>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免 税 收 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476"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846"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951"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951"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476"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免税收入合计</w:t>
            </w:r>
          </w:p>
        </w:tc>
        <w:tc>
          <w:tcPr>
            <w:tcW w:w="84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476"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收入总合计</w:t>
            </w:r>
          </w:p>
        </w:tc>
        <w:tc>
          <w:tcPr>
            <w:tcW w:w="84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6000.00 </w:t>
            </w:r>
          </w:p>
        </w:tc>
        <w:tc>
          <w:tcPr>
            <w:tcW w:w="951"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8000.00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r>
    </w:tbl>
    <w:p>
      <w:pPr>
        <w:spacing w:line="360" w:lineRule="auto"/>
        <w:rPr>
          <w:rFonts w:ascii="仿宋" w:hAnsi="仿宋" w:eastAsia="仿宋" w:cs="Times New Roman"/>
          <w:color w:val="000000"/>
          <w:sz w:val="30"/>
        </w:rPr>
      </w:pPr>
      <w:r>
        <w:rPr>
          <w:rFonts w:ascii="仿宋" w:hAnsi="仿宋" w:eastAsia="仿宋" w:cs="Times New Roman"/>
          <w:color w:val="000000"/>
          <w:sz w:val="30"/>
        </w:rPr>
        <w:br w:type="page"/>
      </w:r>
      <w:r>
        <w:rPr>
          <w:rFonts w:hint="eastAsia" w:ascii="仿宋" w:hAnsi="仿宋" w:eastAsia="仿宋" w:cs="Times New Roman"/>
          <w:color w:val="000000"/>
          <w:sz w:val="30"/>
        </w:rPr>
        <w:t>附表5：税金及附加估算表（单位：万元）</w:t>
      </w:r>
    </w:p>
    <w:tbl>
      <w:tblPr>
        <w:tblStyle w:val="21"/>
        <w:tblW w:w="135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686"/>
        <w:gridCol w:w="846"/>
        <w:gridCol w:w="951"/>
        <w:gridCol w:w="951"/>
        <w:gridCol w:w="1056"/>
        <w:gridCol w:w="1056"/>
        <w:gridCol w:w="1056"/>
        <w:gridCol w:w="1056"/>
        <w:gridCol w:w="1056"/>
        <w:gridCol w:w="1056"/>
        <w:gridCol w:w="1056"/>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序号</w:t>
            </w:r>
          </w:p>
        </w:tc>
        <w:tc>
          <w:tcPr>
            <w:tcW w:w="168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项目</w:t>
            </w:r>
          </w:p>
        </w:tc>
        <w:tc>
          <w:tcPr>
            <w:tcW w:w="846"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建设期</w:t>
            </w:r>
          </w:p>
        </w:tc>
        <w:tc>
          <w:tcPr>
            <w:tcW w:w="1902" w:type="dxa"/>
            <w:gridSpan w:val="2"/>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投产期</w:t>
            </w:r>
          </w:p>
        </w:tc>
        <w:tc>
          <w:tcPr>
            <w:tcW w:w="8448" w:type="dxa"/>
            <w:gridSpan w:val="8"/>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营业期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p>
        </w:tc>
        <w:tc>
          <w:tcPr>
            <w:tcW w:w="16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kern w:val="0"/>
                <w:szCs w:val="21"/>
              </w:rPr>
            </w:pP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0</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1</w:t>
            </w:r>
            <w:r>
              <w:rPr>
                <w:rFonts w:hint="eastAsia" w:ascii="仿宋" w:hAnsi="仿宋" w:eastAsia="仿宋" w:cs="宋体"/>
                <w:kern w:val="0"/>
                <w:szCs w:val="21"/>
              </w:rPr>
              <w:t>年</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2</w:t>
            </w:r>
            <w:r>
              <w:rPr>
                <w:rFonts w:hint="eastAsia" w:ascii="仿宋" w:hAnsi="仿宋" w:eastAsia="仿宋" w:cs="宋体"/>
                <w:kern w:val="0"/>
                <w:szCs w:val="21"/>
              </w:rPr>
              <w:t>年</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3</w:t>
            </w:r>
            <w:r>
              <w:rPr>
                <w:rFonts w:hint="eastAsia" w:ascii="仿宋" w:hAnsi="仿宋" w:eastAsia="仿宋" w:cs="宋体"/>
                <w:kern w:val="0"/>
                <w:szCs w:val="21"/>
              </w:rPr>
              <w:t>年</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4</w:t>
            </w:r>
            <w:r>
              <w:rPr>
                <w:rFonts w:hint="eastAsia" w:ascii="仿宋" w:hAnsi="仿宋" w:eastAsia="仿宋" w:cs="宋体"/>
                <w:kern w:val="0"/>
                <w:szCs w:val="21"/>
              </w:rPr>
              <w:t>年</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5</w:t>
            </w:r>
            <w:r>
              <w:rPr>
                <w:rFonts w:hint="eastAsia" w:ascii="仿宋" w:hAnsi="仿宋" w:eastAsia="仿宋" w:cs="宋体"/>
                <w:kern w:val="0"/>
                <w:szCs w:val="21"/>
              </w:rPr>
              <w:t>年</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6年</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7年</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8年</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9年</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10年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168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收入</w:t>
            </w: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6000.00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8000.00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1.1</w:t>
            </w:r>
          </w:p>
        </w:tc>
        <w:tc>
          <w:tcPr>
            <w:tcW w:w="168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承租管理收入</w:t>
            </w: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6000</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8000</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10000</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10000</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10000</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10000</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10000</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10000</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10000</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3518" w:type="dxa"/>
            <w:gridSpan w:val="13"/>
            <w:tcBorders>
              <w:top w:val="single" w:color="auto" w:sz="4" w:space="0"/>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168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增值税</w:t>
            </w: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2.1</w:t>
            </w:r>
          </w:p>
        </w:tc>
        <w:tc>
          <w:tcPr>
            <w:tcW w:w="168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增值销项税</w:t>
            </w: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2.2</w:t>
            </w:r>
          </w:p>
        </w:tc>
        <w:tc>
          <w:tcPr>
            <w:tcW w:w="168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增值进项税</w:t>
            </w: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3518" w:type="dxa"/>
            <w:gridSpan w:val="13"/>
            <w:tcBorders>
              <w:top w:val="single" w:color="auto" w:sz="4" w:space="0"/>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168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消费税</w:t>
            </w: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4</w:t>
            </w:r>
          </w:p>
        </w:tc>
        <w:tc>
          <w:tcPr>
            <w:tcW w:w="168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营业税</w:t>
            </w: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68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5</w:t>
            </w:r>
          </w:p>
        </w:tc>
        <w:tc>
          <w:tcPr>
            <w:tcW w:w="168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主税合计</w:t>
            </w: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68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168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附加税</w:t>
            </w: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6.1</w:t>
            </w:r>
          </w:p>
        </w:tc>
        <w:tc>
          <w:tcPr>
            <w:tcW w:w="168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城市维护建设税</w:t>
            </w: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21.00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28.00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6.2</w:t>
            </w:r>
          </w:p>
        </w:tc>
        <w:tc>
          <w:tcPr>
            <w:tcW w:w="168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教育附加税</w:t>
            </w: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9.00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12.00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68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68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税金合计</w:t>
            </w: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330.00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440.00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r>
    </w:tbl>
    <w:p>
      <w:pPr>
        <w:spacing w:line="360" w:lineRule="auto"/>
        <w:rPr>
          <w:rFonts w:ascii="仿宋" w:hAnsi="仿宋" w:eastAsia="仿宋" w:cs="Times New Roman"/>
          <w:color w:val="000000"/>
          <w:sz w:val="30"/>
        </w:rPr>
      </w:pPr>
      <w:r>
        <w:rPr>
          <w:rFonts w:ascii="仿宋" w:hAnsi="仿宋" w:eastAsia="仿宋" w:cs="Times New Roman"/>
          <w:color w:val="000000"/>
          <w:sz w:val="30"/>
        </w:rPr>
        <w:br w:type="page"/>
      </w:r>
      <w:r>
        <w:rPr>
          <w:rFonts w:hint="eastAsia" w:ascii="仿宋" w:hAnsi="仿宋" w:eastAsia="仿宋" w:cs="Times New Roman"/>
          <w:color w:val="000000"/>
          <w:sz w:val="30"/>
        </w:rPr>
        <w:t>附表6：利润估算表（单位：万元）</w:t>
      </w:r>
    </w:p>
    <w:tbl>
      <w:tblPr>
        <w:tblStyle w:val="21"/>
        <w:tblW w:w="136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791"/>
        <w:gridCol w:w="846"/>
        <w:gridCol w:w="951"/>
        <w:gridCol w:w="951"/>
        <w:gridCol w:w="1056"/>
        <w:gridCol w:w="1056"/>
        <w:gridCol w:w="1056"/>
        <w:gridCol w:w="1056"/>
        <w:gridCol w:w="1056"/>
        <w:gridCol w:w="1056"/>
        <w:gridCol w:w="1056"/>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序号</w:t>
            </w:r>
          </w:p>
        </w:tc>
        <w:tc>
          <w:tcPr>
            <w:tcW w:w="1791"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指标名称</w:t>
            </w:r>
          </w:p>
        </w:tc>
        <w:tc>
          <w:tcPr>
            <w:tcW w:w="846" w:type="dxa"/>
            <w:tcBorders>
              <w:top w:val="single" w:color="auto" w:sz="4" w:space="0"/>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投资期</w:t>
            </w:r>
          </w:p>
        </w:tc>
        <w:tc>
          <w:tcPr>
            <w:tcW w:w="1902" w:type="dxa"/>
            <w:gridSpan w:val="2"/>
            <w:tcBorders>
              <w:top w:val="single" w:color="auto" w:sz="4" w:space="0"/>
              <w:left w:val="nil"/>
              <w:bottom w:val="single" w:color="auto" w:sz="4" w:space="0"/>
              <w:right w:val="single" w:color="000000"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投资期</w:t>
            </w:r>
          </w:p>
        </w:tc>
        <w:tc>
          <w:tcPr>
            <w:tcW w:w="8448" w:type="dxa"/>
            <w:gridSpan w:val="8"/>
            <w:tcBorders>
              <w:top w:val="single" w:color="auto" w:sz="4" w:space="0"/>
              <w:left w:val="nil"/>
              <w:bottom w:val="single" w:color="auto" w:sz="4" w:space="0"/>
              <w:right w:val="single" w:color="000000"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营业期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36"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left"/>
              <w:rPr>
                <w:rFonts w:ascii="仿宋" w:hAnsi="仿宋" w:eastAsia="仿宋" w:cs="宋体"/>
                <w:kern w:val="0"/>
                <w:szCs w:val="21"/>
              </w:rPr>
            </w:pPr>
          </w:p>
        </w:tc>
        <w:tc>
          <w:tcPr>
            <w:tcW w:w="1791"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left"/>
              <w:rPr>
                <w:rFonts w:ascii="仿宋" w:hAnsi="仿宋" w:eastAsia="仿宋" w:cs="宋体"/>
                <w:kern w:val="0"/>
                <w:szCs w:val="21"/>
              </w:rPr>
            </w:pPr>
          </w:p>
        </w:tc>
        <w:tc>
          <w:tcPr>
            <w:tcW w:w="84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1</w:t>
            </w:r>
            <w:r>
              <w:rPr>
                <w:rFonts w:hint="eastAsia" w:ascii="仿宋" w:hAnsi="仿宋" w:eastAsia="仿宋" w:cs="宋体"/>
                <w:kern w:val="0"/>
                <w:szCs w:val="21"/>
              </w:rPr>
              <w:t>年</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2</w:t>
            </w:r>
            <w:r>
              <w:rPr>
                <w:rFonts w:hint="eastAsia" w:ascii="仿宋" w:hAnsi="仿宋" w:eastAsia="仿宋" w:cs="宋体"/>
                <w:kern w:val="0"/>
                <w:szCs w:val="21"/>
              </w:rPr>
              <w:t>年</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3</w:t>
            </w:r>
            <w:r>
              <w:rPr>
                <w:rFonts w:hint="eastAsia" w:ascii="仿宋" w:hAnsi="仿宋" w:eastAsia="仿宋" w:cs="宋体"/>
                <w:kern w:val="0"/>
                <w:szCs w:val="21"/>
              </w:rPr>
              <w:t>年</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4</w:t>
            </w:r>
            <w:r>
              <w:rPr>
                <w:rFonts w:hint="eastAsia" w:ascii="仿宋" w:hAnsi="仿宋" w:eastAsia="仿宋" w:cs="宋体"/>
                <w:kern w:val="0"/>
                <w:szCs w:val="21"/>
              </w:rPr>
              <w:t>年</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5</w:t>
            </w:r>
            <w:r>
              <w:rPr>
                <w:rFonts w:hint="eastAsia" w:ascii="仿宋" w:hAnsi="仿宋" w:eastAsia="仿宋" w:cs="宋体"/>
                <w:kern w:val="0"/>
                <w:szCs w:val="21"/>
              </w:rPr>
              <w:t>年</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6年</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7年</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8年</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9年</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10年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 </w:t>
            </w:r>
          </w:p>
        </w:tc>
        <w:tc>
          <w:tcPr>
            <w:tcW w:w="1791"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销售收入</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6000.00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8000.00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 </w:t>
            </w:r>
          </w:p>
        </w:tc>
        <w:tc>
          <w:tcPr>
            <w:tcW w:w="1791"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总成本</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1730.30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1819.30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1908.84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1927.94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1947.61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1967.86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1988.73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2010.22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2032.36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2055.16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 </w:t>
            </w:r>
          </w:p>
        </w:tc>
        <w:tc>
          <w:tcPr>
            <w:tcW w:w="1791"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销售税金及附加</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330.00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440.00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 </w:t>
            </w:r>
          </w:p>
        </w:tc>
        <w:tc>
          <w:tcPr>
            <w:tcW w:w="1791"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利润总额</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3939.70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5740.70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7541.16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7522.06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7502.39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7482.14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7461.27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7439.78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7417.64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7394.84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 </w:t>
            </w:r>
          </w:p>
        </w:tc>
        <w:tc>
          <w:tcPr>
            <w:tcW w:w="1791"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累计税前利润</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3939.70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9680.40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17221.56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24743.62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32246.02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39728.15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47189.42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54629.20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62046.84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69441.67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6 </w:t>
            </w:r>
          </w:p>
        </w:tc>
        <w:tc>
          <w:tcPr>
            <w:tcW w:w="1791"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所得税</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984.93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1435.18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1885.29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1880.52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1875.60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1870.53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1865.32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1859.94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1854.41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1848.71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7 </w:t>
            </w:r>
          </w:p>
        </w:tc>
        <w:tc>
          <w:tcPr>
            <w:tcW w:w="1791"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净利润</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2954.78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4305.53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5655.87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5641.55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5626.80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5611.60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5595.95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5579.83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5563.23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5546.13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 </w:t>
            </w:r>
          </w:p>
        </w:tc>
        <w:tc>
          <w:tcPr>
            <w:tcW w:w="1791"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累计税后利润</w:t>
            </w:r>
          </w:p>
        </w:tc>
        <w:tc>
          <w:tcPr>
            <w:tcW w:w="84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2954.78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7260.30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12916.17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18557.72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24184.51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29796.12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35392.07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40971.90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46535.13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52081.25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9 </w:t>
            </w:r>
          </w:p>
        </w:tc>
        <w:tc>
          <w:tcPr>
            <w:tcW w:w="1791" w:type="dxa"/>
            <w:tcBorders>
              <w:top w:val="nil"/>
              <w:left w:val="nil"/>
              <w:bottom w:val="single" w:color="auto" w:sz="4" w:space="0"/>
              <w:right w:val="single" w:color="auto" w:sz="4" w:space="0"/>
            </w:tcBorders>
            <w:vAlign w:val="bottom"/>
          </w:tcPr>
          <w:p>
            <w:pPr>
              <w:widowControl/>
              <w:jc w:val="left"/>
              <w:rPr>
                <w:rFonts w:ascii="仿宋" w:hAnsi="仿宋" w:eastAsia="仿宋" w:cs="宋体"/>
                <w:kern w:val="0"/>
                <w:szCs w:val="21"/>
              </w:rPr>
            </w:pPr>
            <w:r>
              <w:rPr>
                <w:rFonts w:hint="eastAsia" w:ascii="仿宋" w:hAnsi="仿宋" w:eastAsia="仿宋" w:cs="宋体"/>
                <w:kern w:val="0"/>
                <w:szCs w:val="21"/>
              </w:rPr>
              <w:t>盈余公积（10%）</w:t>
            </w:r>
          </w:p>
        </w:tc>
        <w:tc>
          <w:tcPr>
            <w:tcW w:w="846" w:type="dxa"/>
            <w:tcBorders>
              <w:top w:val="nil"/>
              <w:left w:val="nil"/>
              <w:bottom w:val="single" w:color="auto" w:sz="4" w:space="0"/>
              <w:right w:val="single" w:color="auto" w:sz="4" w:space="0"/>
            </w:tcBorders>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295.48 </w:t>
            </w:r>
          </w:p>
        </w:tc>
        <w:tc>
          <w:tcPr>
            <w:tcW w:w="951"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430.55 </w:t>
            </w:r>
          </w:p>
        </w:tc>
        <w:tc>
          <w:tcPr>
            <w:tcW w:w="1056"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565.59 </w:t>
            </w:r>
          </w:p>
        </w:tc>
        <w:tc>
          <w:tcPr>
            <w:tcW w:w="1056"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564.15 </w:t>
            </w:r>
          </w:p>
        </w:tc>
        <w:tc>
          <w:tcPr>
            <w:tcW w:w="1056"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562.68 </w:t>
            </w:r>
          </w:p>
        </w:tc>
        <w:tc>
          <w:tcPr>
            <w:tcW w:w="1056"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561.16 </w:t>
            </w:r>
          </w:p>
        </w:tc>
        <w:tc>
          <w:tcPr>
            <w:tcW w:w="1056"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559.60 </w:t>
            </w:r>
          </w:p>
        </w:tc>
        <w:tc>
          <w:tcPr>
            <w:tcW w:w="1056"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557.98 </w:t>
            </w:r>
          </w:p>
        </w:tc>
        <w:tc>
          <w:tcPr>
            <w:tcW w:w="1056"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556.32 </w:t>
            </w:r>
          </w:p>
        </w:tc>
        <w:tc>
          <w:tcPr>
            <w:tcW w:w="1056"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554.61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 </w:t>
            </w:r>
          </w:p>
        </w:tc>
        <w:tc>
          <w:tcPr>
            <w:tcW w:w="1791" w:type="dxa"/>
            <w:tcBorders>
              <w:top w:val="nil"/>
              <w:left w:val="nil"/>
              <w:bottom w:val="single" w:color="auto" w:sz="4" w:space="0"/>
              <w:right w:val="single" w:color="auto" w:sz="4" w:space="0"/>
            </w:tcBorders>
            <w:vAlign w:val="bottom"/>
          </w:tcPr>
          <w:p>
            <w:pPr>
              <w:widowControl/>
              <w:jc w:val="left"/>
              <w:rPr>
                <w:rFonts w:ascii="仿宋" w:hAnsi="仿宋" w:eastAsia="仿宋" w:cs="宋体"/>
                <w:kern w:val="0"/>
                <w:szCs w:val="21"/>
              </w:rPr>
            </w:pPr>
            <w:r>
              <w:rPr>
                <w:rFonts w:hint="eastAsia" w:ascii="仿宋" w:hAnsi="仿宋" w:eastAsia="仿宋" w:cs="宋体"/>
                <w:kern w:val="0"/>
                <w:szCs w:val="21"/>
              </w:rPr>
              <w:t>未分配利润</w:t>
            </w:r>
          </w:p>
        </w:tc>
        <w:tc>
          <w:tcPr>
            <w:tcW w:w="846" w:type="dxa"/>
            <w:tcBorders>
              <w:top w:val="nil"/>
              <w:left w:val="nil"/>
              <w:bottom w:val="single" w:color="auto" w:sz="4" w:space="0"/>
              <w:right w:val="single" w:color="auto" w:sz="4" w:space="0"/>
            </w:tcBorders>
            <w:vAlign w:val="bottom"/>
          </w:tcPr>
          <w:p>
            <w:pPr>
              <w:widowControl/>
              <w:jc w:val="left"/>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2659.30 </w:t>
            </w:r>
          </w:p>
        </w:tc>
        <w:tc>
          <w:tcPr>
            <w:tcW w:w="951"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3874.97 </w:t>
            </w:r>
          </w:p>
        </w:tc>
        <w:tc>
          <w:tcPr>
            <w:tcW w:w="1056"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5090.28 </w:t>
            </w:r>
          </w:p>
        </w:tc>
        <w:tc>
          <w:tcPr>
            <w:tcW w:w="1056"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5077.39 </w:t>
            </w:r>
          </w:p>
        </w:tc>
        <w:tc>
          <w:tcPr>
            <w:tcW w:w="1056"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5064.12 </w:t>
            </w:r>
          </w:p>
        </w:tc>
        <w:tc>
          <w:tcPr>
            <w:tcW w:w="1056"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5050.44 </w:t>
            </w:r>
          </w:p>
        </w:tc>
        <w:tc>
          <w:tcPr>
            <w:tcW w:w="1056"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5036.36 </w:t>
            </w:r>
          </w:p>
        </w:tc>
        <w:tc>
          <w:tcPr>
            <w:tcW w:w="1056"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5021.85 </w:t>
            </w:r>
          </w:p>
        </w:tc>
        <w:tc>
          <w:tcPr>
            <w:tcW w:w="1056"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5006.91 </w:t>
            </w:r>
          </w:p>
        </w:tc>
        <w:tc>
          <w:tcPr>
            <w:tcW w:w="1056"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4991.51 </w:t>
            </w:r>
          </w:p>
        </w:tc>
      </w:tr>
    </w:tbl>
    <w:p>
      <w:pPr>
        <w:spacing w:line="360" w:lineRule="auto"/>
        <w:rPr>
          <w:rFonts w:ascii="仿宋" w:hAnsi="仿宋" w:eastAsia="仿宋" w:cs="Times New Roman"/>
          <w:color w:val="000000"/>
          <w:sz w:val="30"/>
        </w:rPr>
      </w:pPr>
      <w:r>
        <w:rPr>
          <w:rFonts w:ascii="仿宋" w:hAnsi="仿宋" w:eastAsia="仿宋" w:cs="Times New Roman"/>
          <w:color w:val="000000"/>
          <w:sz w:val="30"/>
        </w:rPr>
        <w:br w:type="page"/>
      </w:r>
      <w:r>
        <w:rPr>
          <w:rFonts w:hint="eastAsia" w:ascii="仿宋" w:hAnsi="仿宋" w:eastAsia="仿宋" w:cs="Times New Roman"/>
          <w:color w:val="000000"/>
          <w:sz w:val="30"/>
        </w:rPr>
        <w:t>附表7：流动资金估算表（单位：万元）</w:t>
      </w:r>
    </w:p>
    <w:tbl>
      <w:tblPr>
        <w:tblStyle w:val="21"/>
        <w:tblW w:w="1404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1"/>
        <w:gridCol w:w="1266"/>
        <w:gridCol w:w="1476"/>
        <w:gridCol w:w="1056"/>
        <w:gridCol w:w="951"/>
        <w:gridCol w:w="951"/>
        <w:gridCol w:w="951"/>
        <w:gridCol w:w="951"/>
        <w:gridCol w:w="951"/>
        <w:gridCol w:w="951"/>
        <w:gridCol w:w="951"/>
        <w:gridCol w:w="951"/>
        <w:gridCol w:w="951"/>
        <w:gridCol w:w="9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1"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序号</w:t>
            </w:r>
          </w:p>
        </w:tc>
        <w:tc>
          <w:tcPr>
            <w:tcW w:w="1266"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项目</w:t>
            </w:r>
          </w:p>
        </w:tc>
        <w:tc>
          <w:tcPr>
            <w:tcW w:w="1476"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最低周转天数</w:t>
            </w:r>
          </w:p>
        </w:tc>
        <w:tc>
          <w:tcPr>
            <w:tcW w:w="1056"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周转次数</w:t>
            </w:r>
          </w:p>
        </w:tc>
        <w:tc>
          <w:tcPr>
            <w:tcW w:w="951"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1</w:t>
            </w:r>
            <w:r>
              <w:rPr>
                <w:rFonts w:hint="eastAsia" w:ascii="仿宋" w:hAnsi="仿宋" w:eastAsia="仿宋" w:cs="宋体"/>
                <w:kern w:val="0"/>
                <w:szCs w:val="21"/>
              </w:rPr>
              <w:t>年</w:t>
            </w:r>
          </w:p>
        </w:tc>
        <w:tc>
          <w:tcPr>
            <w:tcW w:w="951"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2</w:t>
            </w:r>
            <w:r>
              <w:rPr>
                <w:rFonts w:hint="eastAsia" w:ascii="仿宋" w:hAnsi="仿宋" w:eastAsia="仿宋" w:cs="宋体"/>
                <w:kern w:val="0"/>
                <w:szCs w:val="21"/>
              </w:rPr>
              <w:t>年</w:t>
            </w:r>
          </w:p>
        </w:tc>
        <w:tc>
          <w:tcPr>
            <w:tcW w:w="951"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3</w:t>
            </w:r>
            <w:r>
              <w:rPr>
                <w:rFonts w:hint="eastAsia" w:ascii="仿宋" w:hAnsi="仿宋" w:eastAsia="仿宋" w:cs="宋体"/>
                <w:kern w:val="0"/>
                <w:szCs w:val="21"/>
              </w:rPr>
              <w:t>年</w:t>
            </w:r>
          </w:p>
        </w:tc>
        <w:tc>
          <w:tcPr>
            <w:tcW w:w="951"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4</w:t>
            </w:r>
            <w:r>
              <w:rPr>
                <w:rFonts w:hint="eastAsia" w:ascii="仿宋" w:hAnsi="仿宋" w:eastAsia="仿宋" w:cs="宋体"/>
                <w:kern w:val="0"/>
                <w:szCs w:val="21"/>
              </w:rPr>
              <w:t>年</w:t>
            </w:r>
          </w:p>
        </w:tc>
        <w:tc>
          <w:tcPr>
            <w:tcW w:w="951"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5</w:t>
            </w:r>
            <w:r>
              <w:rPr>
                <w:rFonts w:hint="eastAsia" w:ascii="仿宋" w:hAnsi="仿宋" w:eastAsia="仿宋" w:cs="宋体"/>
                <w:kern w:val="0"/>
                <w:szCs w:val="21"/>
              </w:rPr>
              <w:t>年</w:t>
            </w:r>
          </w:p>
        </w:tc>
        <w:tc>
          <w:tcPr>
            <w:tcW w:w="951"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6年</w:t>
            </w:r>
          </w:p>
        </w:tc>
        <w:tc>
          <w:tcPr>
            <w:tcW w:w="951"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7年</w:t>
            </w:r>
          </w:p>
        </w:tc>
        <w:tc>
          <w:tcPr>
            <w:tcW w:w="951"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8年</w:t>
            </w:r>
          </w:p>
        </w:tc>
        <w:tc>
          <w:tcPr>
            <w:tcW w:w="951"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9年</w:t>
            </w:r>
          </w:p>
        </w:tc>
        <w:tc>
          <w:tcPr>
            <w:tcW w:w="951" w:type="dxa"/>
            <w:tcBorders>
              <w:top w:val="single" w:color="auto" w:sz="4" w:space="0"/>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10年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41"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1</w:t>
            </w:r>
          </w:p>
        </w:tc>
        <w:tc>
          <w:tcPr>
            <w:tcW w:w="126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流动资产</w:t>
            </w:r>
          </w:p>
        </w:tc>
        <w:tc>
          <w:tcPr>
            <w:tcW w:w="147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1864.16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2265.17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2666.77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2687.19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2708.22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2729.89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2752.20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2775.19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2798.86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2823.25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41"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1.1</w:t>
            </w:r>
          </w:p>
        </w:tc>
        <w:tc>
          <w:tcPr>
            <w:tcW w:w="126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应收账款</w:t>
            </w:r>
          </w:p>
        </w:tc>
        <w:tc>
          <w:tcPr>
            <w:tcW w:w="147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60</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1333.33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1666.67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1666.67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1666.67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1666.67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1666.67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1666.67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1666.67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1666.67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41"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1.2</w:t>
            </w:r>
          </w:p>
        </w:tc>
        <w:tc>
          <w:tcPr>
            <w:tcW w:w="126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存货</w:t>
            </w:r>
          </w:p>
        </w:tc>
        <w:tc>
          <w:tcPr>
            <w:tcW w:w="147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94.16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103.84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113.56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114.88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116.25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117.66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119.11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120.60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122.14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123.72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41"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Times New Roman"/>
                <w:kern w:val="0"/>
                <w:szCs w:val="21"/>
              </w:rPr>
            </w:pPr>
            <w:r>
              <w:rPr>
                <w:rFonts w:ascii="仿宋" w:hAnsi="仿宋" w:eastAsia="仿宋" w:cs="Times New Roman"/>
                <w:kern w:val="0"/>
                <w:szCs w:val="21"/>
              </w:rPr>
              <w:t>1.2.1</w:t>
            </w:r>
          </w:p>
        </w:tc>
        <w:tc>
          <w:tcPr>
            <w:tcW w:w="126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直接材料</w:t>
            </w:r>
          </w:p>
        </w:tc>
        <w:tc>
          <w:tcPr>
            <w:tcW w:w="147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60</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41"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Times New Roman"/>
                <w:kern w:val="0"/>
                <w:szCs w:val="21"/>
              </w:rPr>
            </w:pPr>
            <w:r>
              <w:rPr>
                <w:rFonts w:ascii="仿宋" w:hAnsi="仿宋" w:eastAsia="仿宋" w:cs="Times New Roman"/>
                <w:kern w:val="0"/>
                <w:szCs w:val="21"/>
              </w:rPr>
              <w:t>1.2.2</w:t>
            </w:r>
          </w:p>
        </w:tc>
        <w:tc>
          <w:tcPr>
            <w:tcW w:w="126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燃料及动力</w:t>
            </w:r>
          </w:p>
        </w:tc>
        <w:tc>
          <w:tcPr>
            <w:tcW w:w="147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60</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15.50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25.83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25.83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25.83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25.83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25.83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25.83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25.83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25.83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41"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Times New Roman"/>
                <w:kern w:val="0"/>
                <w:szCs w:val="21"/>
              </w:rPr>
            </w:pPr>
            <w:r>
              <w:rPr>
                <w:rFonts w:ascii="仿宋" w:hAnsi="仿宋" w:eastAsia="仿宋" w:cs="Times New Roman"/>
                <w:kern w:val="0"/>
                <w:szCs w:val="21"/>
              </w:rPr>
              <w:t>1.2.3</w:t>
            </w:r>
          </w:p>
        </w:tc>
        <w:tc>
          <w:tcPr>
            <w:tcW w:w="126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在产品</w:t>
            </w:r>
          </w:p>
        </w:tc>
        <w:tc>
          <w:tcPr>
            <w:tcW w:w="147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15</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24</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30.60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32.64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34.70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35.50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36.32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37.16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38.03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38.93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39.85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40.80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41"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Times New Roman"/>
                <w:kern w:val="0"/>
                <w:szCs w:val="21"/>
              </w:rPr>
            </w:pPr>
            <w:r>
              <w:rPr>
                <w:rFonts w:ascii="仿宋" w:hAnsi="仿宋" w:eastAsia="仿宋" w:cs="Times New Roman"/>
                <w:kern w:val="0"/>
                <w:szCs w:val="21"/>
              </w:rPr>
              <w:t>1.2.4</w:t>
            </w:r>
          </w:p>
        </w:tc>
        <w:tc>
          <w:tcPr>
            <w:tcW w:w="126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产成品</w:t>
            </w:r>
          </w:p>
        </w:tc>
        <w:tc>
          <w:tcPr>
            <w:tcW w:w="147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10</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36</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48.06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50.54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53.02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53.55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54.10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54.66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55.24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55.84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56.45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57.09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41"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1.3</w:t>
            </w:r>
          </w:p>
        </w:tc>
        <w:tc>
          <w:tcPr>
            <w:tcW w:w="126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现金</w:t>
            </w:r>
          </w:p>
        </w:tc>
        <w:tc>
          <w:tcPr>
            <w:tcW w:w="147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770.00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828.00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886.54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905.64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925.31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945.56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966.43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987.92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1010.06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1032.86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41"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2</w:t>
            </w:r>
          </w:p>
        </w:tc>
        <w:tc>
          <w:tcPr>
            <w:tcW w:w="126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流动负债</w:t>
            </w:r>
          </w:p>
        </w:tc>
        <w:tc>
          <w:tcPr>
            <w:tcW w:w="147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12.40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16.53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41"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2.1</w:t>
            </w:r>
          </w:p>
        </w:tc>
        <w:tc>
          <w:tcPr>
            <w:tcW w:w="126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应付账款</w:t>
            </w:r>
          </w:p>
        </w:tc>
        <w:tc>
          <w:tcPr>
            <w:tcW w:w="147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60</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12.40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16.53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20.67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41" w:type="dxa"/>
            <w:tcBorders>
              <w:top w:val="nil"/>
              <w:left w:val="single" w:color="auto" w:sz="4" w:space="0"/>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3</w:t>
            </w:r>
          </w:p>
        </w:tc>
        <w:tc>
          <w:tcPr>
            <w:tcW w:w="1266" w:type="dxa"/>
            <w:tcBorders>
              <w:top w:val="nil"/>
              <w:left w:val="nil"/>
              <w:bottom w:val="single" w:color="auto" w:sz="4" w:space="0"/>
              <w:right w:val="single" w:color="auto" w:sz="4" w:space="0"/>
            </w:tcBorders>
            <w:shd w:val="clear" w:color="000000" w:fill="FFFFFF"/>
            <w:vAlign w:val="bottom"/>
          </w:tcPr>
          <w:p>
            <w:pPr>
              <w:widowControl/>
              <w:jc w:val="left"/>
              <w:rPr>
                <w:rFonts w:ascii="仿宋" w:hAnsi="仿宋" w:eastAsia="仿宋" w:cs="宋体"/>
                <w:kern w:val="0"/>
                <w:szCs w:val="21"/>
              </w:rPr>
            </w:pPr>
            <w:r>
              <w:rPr>
                <w:rFonts w:hint="eastAsia" w:ascii="仿宋" w:hAnsi="仿宋" w:eastAsia="仿宋" w:cs="宋体"/>
                <w:kern w:val="0"/>
                <w:szCs w:val="21"/>
              </w:rPr>
              <w:t>流动资金</w:t>
            </w:r>
          </w:p>
        </w:tc>
        <w:tc>
          <w:tcPr>
            <w:tcW w:w="147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1851.76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2248.64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2646.10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2666.52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2687.56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2709.22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2731.54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2754.52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2778.20 </w:t>
            </w:r>
          </w:p>
        </w:tc>
        <w:tc>
          <w:tcPr>
            <w:tcW w:w="951" w:type="dxa"/>
            <w:tcBorders>
              <w:top w:val="nil"/>
              <w:left w:val="nil"/>
              <w:bottom w:val="single" w:color="auto" w:sz="4" w:space="0"/>
              <w:right w:val="single" w:color="auto" w:sz="4" w:space="0"/>
            </w:tcBorders>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 xml:space="preserve">2802.58 </w:t>
            </w:r>
          </w:p>
        </w:tc>
      </w:tr>
    </w:tbl>
    <w:p>
      <w:pPr>
        <w:spacing w:line="360" w:lineRule="auto"/>
        <w:rPr>
          <w:rFonts w:ascii="仿宋" w:hAnsi="仿宋" w:eastAsia="仿宋" w:cs="Times New Roman"/>
          <w:color w:val="000000"/>
          <w:sz w:val="30"/>
        </w:rPr>
      </w:pPr>
      <w:r>
        <w:rPr>
          <w:rFonts w:ascii="仿宋" w:hAnsi="仿宋" w:eastAsia="仿宋" w:cs="Times New Roman"/>
          <w:color w:val="000000"/>
          <w:sz w:val="30"/>
        </w:rPr>
        <w:br w:type="page"/>
      </w:r>
      <w:r>
        <w:rPr>
          <w:rFonts w:hint="eastAsia" w:ascii="仿宋" w:hAnsi="仿宋" w:eastAsia="仿宋" w:cs="Times New Roman"/>
          <w:color w:val="000000"/>
          <w:sz w:val="30"/>
        </w:rPr>
        <w:t>附表8：现金流量估算表（单位：万元）</w:t>
      </w:r>
    </w:p>
    <w:tbl>
      <w:tblPr>
        <w:tblStyle w:val="21"/>
        <w:tblW w:w="149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2316"/>
        <w:gridCol w:w="1161"/>
        <w:gridCol w:w="1161"/>
        <w:gridCol w:w="1161"/>
        <w:gridCol w:w="1161"/>
        <w:gridCol w:w="1056"/>
        <w:gridCol w:w="1056"/>
        <w:gridCol w:w="1056"/>
        <w:gridCol w:w="1056"/>
        <w:gridCol w:w="1056"/>
        <w:gridCol w:w="1056"/>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序号</w:t>
            </w:r>
          </w:p>
        </w:tc>
        <w:tc>
          <w:tcPr>
            <w:tcW w:w="2316"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项目</w:t>
            </w:r>
          </w:p>
        </w:tc>
        <w:tc>
          <w:tcPr>
            <w:tcW w:w="1161"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投资期</w:t>
            </w:r>
          </w:p>
        </w:tc>
        <w:tc>
          <w:tcPr>
            <w:tcW w:w="2322" w:type="dxa"/>
            <w:gridSpan w:val="2"/>
            <w:tcBorders>
              <w:top w:val="single" w:color="auto" w:sz="4" w:space="0"/>
              <w:left w:val="nil"/>
              <w:bottom w:val="single" w:color="auto" w:sz="4" w:space="0"/>
              <w:right w:val="single" w:color="000000"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投产期</w:t>
            </w:r>
          </w:p>
        </w:tc>
        <w:tc>
          <w:tcPr>
            <w:tcW w:w="8553" w:type="dxa"/>
            <w:gridSpan w:val="8"/>
            <w:tcBorders>
              <w:top w:val="single" w:color="auto" w:sz="4" w:space="0"/>
              <w:left w:val="nil"/>
              <w:bottom w:val="single" w:color="auto" w:sz="4" w:space="0"/>
              <w:right w:val="single" w:color="000000"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营业期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36"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left"/>
              <w:rPr>
                <w:rFonts w:ascii="仿宋" w:hAnsi="仿宋" w:eastAsia="仿宋" w:cs="宋体"/>
                <w:kern w:val="0"/>
                <w:szCs w:val="21"/>
              </w:rPr>
            </w:pPr>
          </w:p>
        </w:tc>
        <w:tc>
          <w:tcPr>
            <w:tcW w:w="2316"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left"/>
              <w:rPr>
                <w:rFonts w:ascii="仿宋" w:hAnsi="仿宋" w:eastAsia="仿宋" w:cs="宋体"/>
                <w:kern w:val="0"/>
                <w:szCs w:val="21"/>
              </w:rPr>
            </w:pP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1</w:t>
            </w:r>
            <w:r>
              <w:rPr>
                <w:rFonts w:hint="eastAsia" w:ascii="仿宋" w:hAnsi="仿宋" w:eastAsia="仿宋" w:cs="宋体"/>
                <w:kern w:val="0"/>
                <w:szCs w:val="21"/>
              </w:rPr>
              <w:t>年</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2</w:t>
            </w:r>
            <w:r>
              <w:rPr>
                <w:rFonts w:hint="eastAsia" w:ascii="仿宋" w:hAnsi="仿宋" w:eastAsia="仿宋" w:cs="宋体"/>
                <w:kern w:val="0"/>
                <w:szCs w:val="21"/>
              </w:rPr>
              <w:t>年</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3</w:t>
            </w:r>
            <w:r>
              <w:rPr>
                <w:rFonts w:hint="eastAsia" w:ascii="仿宋" w:hAnsi="仿宋" w:eastAsia="仿宋" w:cs="宋体"/>
                <w:kern w:val="0"/>
                <w:szCs w:val="21"/>
              </w:rPr>
              <w:t>年</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4</w:t>
            </w:r>
            <w:r>
              <w:rPr>
                <w:rFonts w:hint="eastAsia" w:ascii="仿宋" w:hAnsi="仿宋" w:eastAsia="仿宋" w:cs="宋体"/>
                <w:kern w:val="0"/>
                <w:szCs w:val="21"/>
              </w:rPr>
              <w:t>年</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5</w:t>
            </w:r>
            <w:r>
              <w:rPr>
                <w:rFonts w:hint="eastAsia" w:ascii="仿宋" w:hAnsi="仿宋" w:eastAsia="仿宋" w:cs="宋体"/>
                <w:kern w:val="0"/>
                <w:szCs w:val="21"/>
              </w:rPr>
              <w:t>年</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6年</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7年</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8年</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9年</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第</w:t>
            </w:r>
            <w:r>
              <w:rPr>
                <w:rFonts w:ascii="仿宋" w:hAnsi="仿宋" w:eastAsia="仿宋" w:cs="Times New Roman"/>
                <w:kern w:val="0"/>
                <w:szCs w:val="21"/>
              </w:rPr>
              <w:t>10年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231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生产负荷</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0</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60%</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80%</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仿宋" w:hAnsi="仿宋" w:eastAsia="仿宋" w:cs="宋体"/>
                <w:kern w:val="0"/>
                <w:szCs w:val="21"/>
              </w:rPr>
            </w:pPr>
            <w:r>
              <w:rPr>
                <w:rFonts w:hint="eastAsia" w:ascii="仿宋" w:hAnsi="仿宋" w:eastAsia="仿宋" w:cs="宋体"/>
                <w:kern w:val="0"/>
                <w:szCs w:val="21"/>
              </w:rPr>
              <w:t>1</w:t>
            </w:r>
          </w:p>
        </w:tc>
        <w:tc>
          <w:tcPr>
            <w:tcW w:w="231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现金流入</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6000.00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8000.00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17986.10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仿宋" w:hAnsi="仿宋" w:eastAsia="仿宋" w:cs="宋体"/>
                <w:kern w:val="0"/>
                <w:szCs w:val="21"/>
              </w:rPr>
            </w:pPr>
            <w:r>
              <w:rPr>
                <w:rFonts w:hint="eastAsia" w:ascii="仿宋" w:hAnsi="仿宋" w:eastAsia="仿宋" w:cs="宋体"/>
                <w:kern w:val="0"/>
                <w:szCs w:val="21"/>
              </w:rPr>
              <w:t>1.1</w:t>
            </w:r>
          </w:p>
        </w:tc>
        <w:tc>
          <w:tcPr>
            <w:tcW w:w="231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产品销售收入</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6000.00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8000.00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仿宋" w:hAnsi="仿宋" w:eastAsia="仿宋" w:cs="宋体"/>
                <w:kern w:val="0"/>
                <w:szCs w:val="21"/>
              </w:rPr>
            </w:pPr>
            <w:r>
              <w:rPr>
                <w:rFonts w:hint="eastAsia" w:ascii="仿宋" w:hAnsi="仿宋" w:eastAsia="仿宋" w:cs="宋体"/>
                <w:kern w:val="0"/>
                <w:szCs w:val="21"/>
              </w:rPr>
              <w:t>1.2</w:t>
            </w:r>
          </w:p>
        </w:tc>
        <w:tc>
          <w:tcPr>
            <w:tcW w:w="231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回收固定资产余值</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5340.00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仿宋" w:hAnsi="仿宋" w:eastAsia="仿宋" w:cs="宋体"/>
                <w:kern w:val="0"/>
                <w:szCs w:val="21"/>
              </w:rPr>
            </w:pPr>
            <w:r>
              <w:rPr>
                <w:rFonts w:hint="eastAsia" w:ascii="仿宋" w:hAnsi="仿宋" w:eastAsia="仿宋" w:cs="宋体"/>
                <w:kern w:val="0"/>
                <w:szCs w:val="21"/>
              </w:rPr>
              <w:t>1.3</w:t>
            </w:r>
          </w:p>
        </w:tc>
        <w:tc>
          <w:tcPr>
            <w:tcW w:w="231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回收流动资金</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2646.10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仿宋" w:hAnsi="仿宋" w:eastAsia="仿宋" w:cs="宋体"/>
                <w:kern w:val="0"/>
                <w:szCs w:val="21"/>
              </w:rPr>
            </w:pPr>
            <w:r>
              <w:rPr>
                <w:rFonts w:hint="eastAsia" w:ascii="仿宋" w:hAnsi="仿宋" w:eastAsia="仿宋" w:cs="宋体"/>
                <w:kern w:val="0"/>
                <w:szCs w:val="21"/>
              </w:rPr>
              <w:t>2</w:t>
            </w:r>
          </w:p>
        </w:tc>
        <w:tc>
          <w:tcPr>
            <w:tcW w:w="231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现金流出</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24293.83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3013.05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3397.69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4047.35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3532.45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3547.20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3562.40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3578.05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3594.17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3610.77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3627.87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仿宋" w:hAnsi="仿宋" w:eastAsia="仿宋" w:cs="宋体"/>
                <w:kern w:val="0"/>
                <w:szCs w:val="21"/>
              </w:rPr>
            </w:pPr>
            <w:r>
              <w:rPr>
                <w:rFonts w:hint="eastAsia" w:ascii="仿宋" w:hAnsi="仿宋" w:eastAsia="仿宋" w:cs="宋体"/>
                <w:kern w:val="0"/>
                <w:szCs w:val="21"/>
              </w:rPr>
              <w:t>2.1</w:t>
            </w:r>
          </w:p>
        </w:tc>
        <w:tc>
          <w:tcPr>
            <w:tcW w:w="231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固定资产投资</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11000.00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仿宋" w:hAnsi="仿宋" w:eastAsia="仿宋" w:cs="宋体"/>
                <w:kern w:val="0"/>
                <w:szCs w:val="21"/>
              </w:rPr>
            </w:pPr>
            <w:r>
              <w:rPr>
                <w:rFonts w:hint="eastAsia" w:ascii="仿宋" w:hAnsi="仿宋" w:eastAsia="仿宋" w:cs="宋体"/>
                <w:kern w:val="0"/>
                <w:szCs w:val="21"/>
              </w:rPr>
              <w:t>2.2</w:t>
            </w:r>
          </w:p>
        </w:tc>
        <w:tc>
          <w:tcPr>
            <w:tcW w:w="231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无形资产投资</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12500.00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仿宋" w:hAnsi="仿宋" w:eastAsia="仿宋" w:cs="宋体"/>
                <w:kern w:val="0"/>
                <w:szCs w:val="21"/>
              </w:rPr>
            </w:pPr>
            <w:r>
              <w:rPr>
                <w:rFonts w:hint="eastAsia" w:ascii="仿宋" w:hAnsi="仿宋" w:eastAsia="仿宋" w:cs="宋体"/>
                <w:kern w:val="0"/>
                <w:szCs w:val="21"/>
              </w:rPr>
              <w:t>2.3</w:t>
            </w:r>
          </w:p>
        </w:tc>
        <w:tc>
          <w:tcPr>
            <w:tcW w:w="231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递延资产</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仿宋" w:hAnsi="仿宋" w:eastAsia="仿宋" w:cs="宋体"/>
                <w:kern w:val="0"/>
                <w:szCs w:val="21"/>
              </w:rPr>
            </w:pPr>
            <w:r>
              <w:rPr>
                <w:rFonts w:hint="eastAsia" w:ascii="仿宋" w:hAnsi="仿宋" w:eastAsia="仿宋" w:cs="宋体"/>
                <w:kern w:val="0"/>
                <w:szCs w:val="21"/>
              </w:rPr>
              <w:t>2.4</w:t>
            </w:r>
          </w:p>
        </w:tc>
        <w:tc>
          <w:tcPr>
            <w:tcW w:w="231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项目费和不可预见费用</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0.00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仿宋" w:hAnsi="仿宋" w:eastAsia="仿宋" w:cs="宋体"/>
                <w:kern w:val="0"/>
                <w:szCs w:val="21"/>
              </w:rPr>
            </w:pPr>
            <w:r>
              <w:rPr>
                <w:rFonts w:hint="eastAsia" w:ascii="仿宋" w:hAnsi="仿宋" w:eastAsia="仿宋" w:cs="宋体"/>
                <w:kern w:val="0"/>
                <w:szCs w:val="21"/>
              </w:rPr>
              <w:t>2.5</w:t>
            </w:r>
          </w:p>
        </w:tc>
        <w:tc>
          <w:tcPr>
            <w:tcW w:w="231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铺底流动资金</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793.83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仿宋" w:hAnsi="仿宋" w:eastAsia="仿宋" w:cs="宋体"/>
                <w:kern w:val="0"/>
                <w:szCs w:val="21"/>
              </w:rPr>
            </w:pPr>
            <w:r>
              <w:rPr>
                <w:rFonts w:hint="eastAsia" w:ascii="仿宋" w:hAnsi="仿宋" w:eastAsia="仿宋" w:cs="宋体"/>
                <w:kern w:val="0"/>
                <w:szCs w:val="21"/>
              </w:rPr>
              <w:t>2.6</w:t>
            </w:r>
          </w:p>
        </w:tc>
        <w:tc>
          <w:tcPr>
            <w:tcW w:w="231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营运资金</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793.83 </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529.22 </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529.22 </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仿宋" w:hAnsi="仿宋" w:eastAsia="仿宋" w:cs="宋体"/>
                <w:kern w:val="0"/>
                <w:szCs w:val="21"/>
              </w:rPr>
            </w:pPr>
            <w:r>
              <w:rPr>
                <w:rFonts w:hint="eastAsia" w:ascii="仿宋" w:hAnsi="仿宋" w:eastAsia="仿宋" w:cs="宋体"/>
                <w:kern w:val="0"/>
                <w:szCs w:val="21"/>
              </w:rPr>
              <w:t>2.7</w:t>
            </w:r>
          </w:p>
        </w:tc>
        <w:tc>
          <w:tcPr>
            <w:tcW w:w="231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经营成本</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904.30 </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993.30 </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1082.84 </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1101.94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1121.61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1141.86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1162.73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1184.22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1206.36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1229.16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仿宋" w:hAnsi="仿宋" w:eastAsia="仿宋" w:cs="宋体"/>
                <w:kern w:val="0"/>
                <w:szCs w:val="21"/>
              </w:rPr>
            </w:pPr>
            <w:r>
              <w:rPr>
                <w:rFonts w:hint="eastAsia" w:ascii="仿宋" w:hAnsi="仿宋" w:eastAsia="仿宋" w:cs="宋体"/>
                <w:kern w:val="0"/>
                <w:szCs w:val="21"/>
              </w:rPr>
              <w:t>2.8</w:t>
            </w:r>
          </w:p>
        </w:tc>
        <w:tc>
          <w:tcPr>
            <w:tcW w:w="231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营业税金及附加</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330.00 </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440.00 </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550.00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仿宋" w:hAnsi="仿宋" w:eastAsia="仿宋" w:cs="宋体"/>
                <w:kern w:val="0"/>
                <w:szCs w:val="21"/>
              </w:rPr>
            </w:pPr>
            <w:r>
              <w:rPr>
                <w:rFonts w:hint="eastAsia" w:ascii="仿宋" w:hAnsi="仿宋" w:eastAsia="仿宋" w:cs="宋体"/>
                <w:kern w:val="0"/>
                <w:szCs w:val="21"/>
              </w:rPr>
              <w:t>2.9</w:t>
            </w:r>
          </w:p>
        </w:tc>
        <w:tc>
          <w:tcPr>
            <w:tcW w:w="231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所得税</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984.93 </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1435.18 </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1885.29 </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1880.52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1875.60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1870.53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1865.32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1859.94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1854.41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1848.71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仿宋" w:hAnsi="仿宋" w:eastAsia="仿宋" w:cs="宋体"/>
                <w:kern w:val="0"/>
                <w:szCs w:val="21"/>
              </w:rPr>
            </w:pPr>
            <w:r>
              <w:rPr>
                <w:rFonts w:hint="eastAsia" w:ascii="仿宋" w:hAnsi="仿宋" w:eastAsia="仿宋" w:cs="宋体"/>
                <w:kern w:val="0"/>
                <w:szCs w:val="21"/>
              </w:rPr>
              <w:t>3</w:t>
            </w:r>
          </w:p>
        </w:tc>
        <w:tc>
          <w:tcPr>
            <w:tcW w:w="231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净现金流（NCF）</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-24293.83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2986.95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4602.31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5952.65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6467.55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6452.80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6437.60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6421.95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6405.83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6389.23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14358.23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仿宋" w:hAnsi="仿宋" w:eastAsia="仿宋" w:cs="宋体"/>
                <w:kern w:val="0"/>
                <w:szCs w:val="21"/>
              </w:rPr>
            </w:pPr>
            <w:r>
              <w:rPr>
                <w:rFonts w:hint="eastAsia" w:ascii="仿宋" w:hAnsi="仿宋" w:eastAsia="仿宋" w:cs="宋体"/>
                <w:kern w:val="0"/>
                <w:szCs w:val="21"/>
              </w:rPr>
              <w:t>4</w:t>
            </w:r>
          </w:p>
        </w:tc>
        <w:tc>
          <w:tcPr>
            <w:tcW w:w="231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累计净现金流</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-24293.83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-21306.88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-16704.58 </w:t>
            </w:r>
          </w:p>
        </w:tc>
        <w:tc>
          <w:tcPr>
            <w:tcW w:w="1161"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-10751.93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-4284.38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2168.42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8606.02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15027.97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21433.80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27823.03 </w:t>
            </w:r>
          </w:p>
        </w:tc>
        <w:tc>
          <w:tcPr>
            <w:tcW w:w="105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 xml:space="preserve">42181.25 </w:t>
            </w:r>
          </w:p>
        </w:tc>
      </w:tr>
    </w:tbl>
    <w:p>
      <w:pPr>
        <w:spacing w:line="360" w:lineRule="auto"/>
        <w:rPr>
          <w:rFonts w:ascii="仿宋" w:hAnsi="仿宋" w:eastAsia="仿宋" w:cs="Times New Roman"/>
          <w:color w:val="000000"/>
          <w:sz w:val="30"/>
        </w:rPr>
      </w:pPr>
      <w:r>
        <w:rPr>
          <w:rFonts w:ascii="仿宋" w:hAnsi="仿宋" w:eastAsia="仿宋" w:cs="Times New Roman"/>
          <w:color w:val="000000"/>
          <w:sz w:val="30"/>
        </w:rPr>
        <w:br w:type="page"/>
      </w:r>
      <w:r>
        <w:rPr>
          <w:rFonts w:hint="eastAsia" w:ascii="仿宋" w:hAnsi="仿宋" w:eastAsia="仿宋" w:cs="Times New Roman"/>
          <w:color w:val="000000"/>
          <w:sz w:val="30"/>
        </w:rPr>
        <w:t>附表9：财务评价指标汇总表</w:t>
      </w:r>
    </w:p>
    <w:tbl>
      <w:tblPr>
        <w:tblStyle w:val="21"/>
        <w:tblW w:w="127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1480"/>
        <w:gridCol w:w="1960"/>
        <w:gridCol w:w="1480"/>
        <w:gridCol w:w="1933"/>
        <w:gridCol w:w="1189"/>
        <w:gridCol w:w="15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45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盈利能力指标</w:t>
            </w:r>
          </w:p>
        </w:tc>
        <w:tc>
          <w:tcPr>
            <w:tcW w:w="3440" w:type="dxa"/>
            <w:gridSpan w:val="2"/>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清偿能力指标</w:t>
            </w:r>
          </w:p>
        </w:tc>
        <w:tc>
          <w:tcPr>
            <w:tcW w:w="4720" w:type="dxa"/>
            <w:gridSpan w:val="3"/>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rPr>
            </w:pPr>
            <w:r>
              <w:rPr>
                <w:rFonts w:hint="eastAsia" w:ascii="仿宋" w:hAnsi="仿宋" w:eastAsia="仿宋" w:cs="宋体"/>
                <w:b/>
                <w:bCs/>
                <w:kern w:val="0"/>
                <w:sz w:val="24"/>
              </w:rPr>
              <w:t>风险评价分析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310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净现值NPV  (i=12%)（万元）</w:t>
            </w:r>
          </w:p>
        </w:tc>
        <w:tc>
          <w:tcPr>
            <w:tcW w:w="14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8688.73 </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rPr>
            </w:pPr>
            <w:r>
              <w:rPr>
                <w:rFonts w:hint="eastAsia" w:ascii="仿宋" w:hAnsi="仿宋" w:eastAsia="仿宋" w:cs="宋体"/>
                <w:kern w:val="0"/>
                <w:sz w:val="24"/>
              </w:rPr>
              <w:t>流动比率</w:t>
            </w:r>
          </w:p>
        </w:tc>
        <w:tc>
          <w:tcPr>
            <w:tcW w:w="14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134.20 </w:t>
            </w:r>
          </w:p>
        </w:tc>
        <w:tc>
          <w:tcPr>
            <w:tcW w:w="193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rPr>
            </w:pPr>
            <w:r>
              <w:rPr>
                <w:rFonts w:hint="eastAsia" w:ascii="仿宋" w:hAnsi="仿宋" w:eastAsia="仿宋" w:cs="宋体"/>
                <w:kern w:val="0"/>
                <w:sz w:val="24"/>
              </w:rPr>
              <w:t>金额盈亏平衡点BEP(单位：万元)</w:t>
            </w:r>
          </w:p>
        </w:tc>
        <w:tc>
          <w:tcPr>
            <w:tcW w:w="118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1611.03 </w:t>
            </w:r>
          </w:p>
        </w:tc>
        <w:tc>
          <w:tcPr>
            <w:tcW w:w="1598"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kern w:val="0"/>
                <w:sz w:val="24"/>
              </w:rPr>
            </w:pPr>
            <w:r>
              <w:rPr>
                <w:rFonts w:hint="eastAsia" w:ascii="仿宋" w:hAnsi="仿宋" w:eastAsia="仿宋" w:cs="宋体"/>
                <w:kern w:val="0"/>
                <w:sz w:val="24"/>
              </w:rPr>
              <w:t>收入达16%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3100" w:type="dxa"/>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内含报酬率IRR（%）</w:t>
            </w:r>
          </w:p>
        </w:tc>
        <w:tc>
          <w:tcPr>
            <w:tcW w:w="14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19.54 </w:t>
            </w:r>
          </w:p>
        </w:tc>
        <w:tc>
          <w:tcPr>
            <w:tcW w:w="196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速动比率</w:t>
            </w:r>
          </w:p>
        </w:tc>
        <w:tc>
          <w:tcPr>
            <w:tcW w:w="14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128.30 </w:t>
            </w:r>
          </w:p>
        </w:tc>
        <w:tc>
          <w:tcPr>
            <w:tcW w:w="193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118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4"/>
              </w:rPr>
            </w:pPr>
          </w:p>
        </w:tc>
        <w:tc>
          <w:tcPr>
            <w:tcW w:w="1598"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3100" w:type="dxa"/>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现值指数PVI</w:t>
            </w:r>
          </w:p>
        </w:tc>
        <w:tc>
          <w:tcPr>
            <w:tcW w:w="14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1.36 </w:t>
            </w:r>
          </w:p>
        </w:tc>
        <w:tc>
          <w:tcPr>
            <w:tcW w:w="196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现金比率</w:t>
            </w:r>
          </w:p>
        </w:tc>
        <w:tc>
          <w:tcPr>
            <w:tcW w:w="14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47.66 </w:t>
            </w:r>
          </w:p>
        </w:tc>
        <w:tc>
          <w:tcPr>
            <w:tcW w:w="193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189"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598" w:type="dxa"/>
            <w:tcBorders>
              <w:top w:val="nil"/>
              <w:left w:val="nil"/>
              <w:bottom w:val="single" w:color="auto" w:sz="4" w:space="0"/>
              <w:right w:val="single" w:color="auto" w:sz="4" w:space="0"/>
            </w:tcBorders>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3100" w:type="dxa"/>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投资收益率ROI（%）</w:t>
            </w:r>
          </w:p>
        </w:tc>
        <w:tc>
          <w:tcPr>
            <w:tcW w:w="14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28.58 </w:t>
            </w:r>
          </w:p>
        </w:tc>
        <w:tc>
          <w:tcPr>
            <w:tcW w:w="1960"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w:t>
            </w:r>
          </w:p>
        </w:tc>
        <w:tc>
          <w:tcPr>
            <w:tcW w:w="1933" w:type="dxa"/>
            <w:tcBorders>
              <w:top w:val="nil"/>
              <w:left w:val="nil"/>
              <w:bottom w:val="single" w:color="auto" w:sz="4" w:space="0"/>
              <w:right w:val="single" w:color="auto" w:sz="4" w:space="0"/>
            </w:tcBorders>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189" w:type="dxa"/>
            <w:tcBorders>
              <w:top w:val="nil"/>
              <w:left w:val="nil"/>
              <w:bottom w:val="single" w:color="auto" w:sz="4" w:space="0"/>
              <w:right w:val="single" w:color="auto" w:sz="4" w:space="0"/>
            </w:tcBorders>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598" w:type="dxa"/>
            <w:tcBorders>
              <w:top w:val="nil"/>
              <w:left w:val="nil"/>
              <w:bottom w:val="single" w:color="auto" w:sz="4" w:space="0"/>
              <w:right w:val="single" w:color="auto" w:sz="4" w:space="0"/>
            </w:tcBorders>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3100" w:type="dxa"/>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投资回收期PP（年）</w:t>
            </w:r>
          </w:p>
        </w:tc>
        <w:tc>
          <w:tcPr>
            <w:tcW w:w="14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xml:space="preserve">4.66 </w:t>
            </w:r>
          </w:p>
        </w:tc>
        <w:tc>
          <w:tcPr>
            <w:tcW w:w="1960"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　</w:t>
            </w:r>
          </w:p>
        </w:tc>
        <w:tc>
          <w:tcPr>
            <w:tcW w:w="1933" w:type="dxa"/>
            <w:tcBorders>
              <w:top w:val="nil"/>
              <w:left w:val="nil"/>
              <w:bottom w:val="single" w:color="auto" w:sz="4" w:space="0"/>
              <w:right w:val="single" w:color="auto" w:sz="4" w:space="0"/>
            </w:tcBorders>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189" w:type="dxa"/>
            <w:tcBorders>
              <w:top w:val="nil"/>
              <w:left w:val="nil"/>
              <w:bottom w:val="single" w:color="auto" w:sz="4" w:space="0"/>
              <w:right w:val="single" w:color="auto" w:sz="4" w:space="0"/>
            </w:tcBorders>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598" w:type="dxa"/>
            <w:tcBorders>
              <w:top w:val="nil"/>
              <w:left w:val="nil"/>
              <w:bottom w:val="single" w:color="auto" w:sz="4" w:space="0"/>
              <w:right w:val="single" w:color="auto" w:sz="4" w:space="0"/>
            </w:tcBorders>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bl>
    <w:p>
      <w:pPr>
        <w:rPr>
          <w:rFonts w:ascii="仿宋" w:hAnsi="仿宋" w:eastAsia="仿宋"/>
        </w:rPr>
      </w:pPr>
    </w:p>
    <w:sectPr>
      <w:pgSz w:w="16838" w:h="11906" w:orient="landscape"/>
      <w:pgMar w:top="720" w:right="720" w:bottom="720" w:left="72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auto"/>
    <w:pitch w:val="default"/>
    <w:sig w:usb0="E00002FF" w:usb1="400004FF" w:usb2="00000000" w:usb3="00000000" w:csb0="2000019F" w:csb1="00000000"/>
  </w:font>
  <w:font w:name="幼圆">
    <w:panose1 w:val="0201050906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ascii="Calibri" w:hAnsi="Calibri" w:eastAsia="宋体" w:cs="黑体"/>
        <w:kern w:val="2"/>
        <w:sz w:val="18"/>
        <w:szCs w:val="24"/>
        <w:lang w:val="en-US" w:eastAsia="zh-CN" w:bidi="ar-SA"/>
      </w:rPr>
      <w:pict>
        <v:rect id="文本框 15" o:spid="_x0000_s2049" o:spt="1" style="position:absolute;left:0pt;margin-top:0pt;height:144pt;width:144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v:textbox>
        </v:rect>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C5D411"/>
    <w:multiLevelType w:val="singleLevel"/>
    <w:tmpl w:val="59C5D41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0"/>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OTBhYzQyYzA4Yzg3OWE3ZTI2MTdjOWJhYTc3MTQ2MDIifQ=="/>
  </w:docVars>
  <w:rsids>
    <w:rsidRoot w:val="00000000"/>
    <w:rsid w:val="320702F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link w:val="52"/>
    <w:qFormat/>
    <w:uiPriority w:val="9"/>
    <w:pPr>
      <w:keepNext/>
      <w:keepLines/>
      <w:spacing w:before="340" w:after="330" w:line="576" w:lineRule="auto"/>
      <w:outlineLvl w:val="0"/>
    </w:pPr>
    <w:rPr>
      <w:b/>
      <w:kern w:val="44"/>
      <w:sz w:val="44"/>
    </w:rPr>
  </w:style>
  <w:style w:type="paragraph" w:styleId="3">
    <w:name w:val="heading 2"/>
    <w:basedOn w:val="1"/>
    <w:next w:val="1"/>
    <w:link w:val="54"/>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link w:val="41"/>
    <w:qFormat/>
    <w:uiPriority w:val="9"/>
    <w:pPr>
      <w:keepNext/>
      <w:keepLines/>
      <w:spacing w:before="120" w:after="120" w:line="360" w:lineRule="auto"/>
      <w:ind w:firstLine="200" w:firstLineChars="200"/>
      <w:outlineLvl w:val="2"/>
    </w:pPr>
    <w:rPr>
      <w:rFonts w:ascii="Times New Roman" w:hAnsi="Times New Roman" w:eastAsia="仿宋_GB2312" w:cs="Times New Roman"/>
      <w:b/>
      <w:bCs/>
      <w:sz w:val="32"/>
      <w:szCs w:val="32"/>
    </w:rPr>
  </w:style>
  <w:style w:type="paragraph" w:styleId="5">
    <w:name w:val="heading 4"/>
    <w:basedOn w:val="1"/>
    <w:next w:val="1"/>
    <w:link w:val="42"/>
    <w:qFormat/>
    <w:uiPriority w:val="9"/>
    <w:pPr>
      <w:keepNext/>
      <w:keepLines/>
      <w:spacing w:before="280" w:after="290" w:line="376" w:lineRule="auto"/>
      <w:ind w:firstLine="200" w:firstLineChars="200"/>
      <w:outlineLvl w:val="3"/>
    </w:pPr>
    <w:rPr>
      <w:rFonts w:ascii="Cambria" w:hAnsi="Cambria" w:eastAsia="宋体" w:cs="Times New Roman"/>
      <w:b/>
      <w:bCs/>
      <w:kern w:val="0"/>
      <w:sz w:val="32"/>
      <w:szCs w:val="28"/>
    </w:rPr>
  </w:style>
  <w:style w:type="paragraph" w:styleId="6">
    <w:name w:val="heading 5"/>
    <w:basedOn w:val="1"/>
    <w:next w:val="1"/>
    <w:link w:val="43"/>
    <w:qFormat/>
    <w:uiPriority w:val="9"/>
    <w:pPr>
      <w:keepNext/>
      <w:keepLines/>
      <w:spacing w:before="280" w:after="290" w:line="376" w:lineRule="auto"/>
      <w:ind w:firstLine="200" w:firstLineChars="200"/>
      <w:outlineLvl w:val="4"/>
    </w:pPr>
    <w:rPr>
      <w:rFonts w:ascii="Times New Roman" w:hAnsi="Times New Roman" w:eastAsia="仿宋_GB2312" w:cs="Times New Roman"/>
      <w:b/>
      <w:bCs/>
      <w:kern w:val="0"/>
      <w:sz w:val="32"/>
      <w:szCs w:val="28"/>
    </w:rPr>
  </w:style>
  <w:style w:type="character" w:default="1" w:styleId="22">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7">
    <w:name w:val="caption"/>
    <w:basedOn w:val="1"/>
    <w:next w:val="1"/>
    <w:link w:val="47"/>
    <w:qFormat/>
    <w:uiPriority w:val="0"/>
    <w:pPr>
      <w:spacing w:line="360" w:lineRule="auto"/>
    </w:pPr>
    <w:rPr>
      <w:rFonts w:ascii="Arial" w:hAnsi="Arial" w:eastAsia="黑体" w:cs="Arial"/>
      <w:kern w:val="0"/>
      <w:sz w:val="20"/>
      <w:szCs w:val="20"/>
    </w:rPr>
  </w:style>
  <w:style w:type="paragraph" w:styleId="8">
    <w:name w:val="annotation text"/>
    <w:basedOn w:val="1"/>
    <w:link w:val="38"/>
    <w:qFormat/>
    <w:uiPriority w:val="99"/>
    <w:pPr>
      <w:jc w:val="left"/>
    </w:pPr>
  </w:style>
  <w:style w:type="paragraph" w:styleId="9">
    <w:name w:val="Body Text"/>
    <w:basedOn w:val="1"/>
    <w:link w:val="50"/>
    <w:unhideWhenUsed/>
    <w:qFormat/>
    <w:uiPriority w:val="99"/>
    <w:pPr>
      <w:spacing w:after="120" w:line="360" w:lineRule="auto"/>
      <w:ind w:firstLine="200" w:firstLineChars="200"/>
    </w:pPr>
    <w:rPr>
      <w:rFonts w:ascii="Times New Roman" w:hAnsi="Times New Roman" w:eastAsia="仿宋_GB2312" w:cs="Times New Roman"/>
      <w:sz w:val="30"/>
    </w:rPr>
  </w:style>
  <w:style w:type="paragraph" w:styleId="10">
    <w:name w:val="Body Text Indent"/>
    <w:basedOn w:val="1"/>
    <w:link w:val="53"/>
    <w:qFormat/>
    <w:uiPriority w:val="0"/>
    <w:pPr>
      <w:spacing w:line="360" w:lineRule="auto"/>
      <w:ind w:firstLine="560" w:firstLineChars="200"/>
    </w:pPr>
    <w:rPr>
      <w:rFonts w:ascii="Times New Roman" w:hAnsi="Times New Roman" w:eastAsia="幼圆" w:cs="Times New Roman"/>
      <w:kern w:val="0"/>
      <w:sz w:val="28"/>
    </w:rPr>
  </w:style>
  <w:style w:type="paragraph" w:styleId="11">
    <w:name w:val="toc 3"/>
    <w:basedOn w:val="1"/>
    <w:next w:val="1"/>
    <w:unhideWhenUsed/>
    <w:qFormat/>
    <w:uiPriority w:val="39"/>
    <w:pPr>
      <w:tabs>
        <w:tab w:val="left" w:pos="1680"/>
        <w:tab w:val="right" w:leader="dot" w:pos="8296"/>
      </w:tabs>
      <w:spacing w:line="500" w:lineRule="exact"/>
      <w:ind w:left="400" w:leftChars="400" w:firstLine="200" w:firstLineChars="200"/>
    </w:pPr>
    <w:rPr>
      <w:rFonts w:ascii="Times New Roman" w:hAnsi="Times New Roman" w:eastAsia="仿宋_GB2312" w:cs="Times New Roman"/>
      <w:sz w:val="30"/>
    </w:rPr>
  </w:style>
  <w:style w:type="paragraph" w:styleId="12">
    <w:name w:val="Date"/>
    <w:basedOn w:val="1"/>
    <w:next w:val="1"/>
    <w:link w:val="45"/>
    <w:unhideWhenUsed/>
    <w:qFormat/>
    <w:uiPriority w:val="99"/>
    <w:pPr>
      <w:spacing w:line="360" w:lineRule="auto"/>
      <w:ind w:left="100" w:leftChars="2500" w:firstLine="200" w:firstLineChars="200"/>
    </w:pPr>
    <w:rPr>
      <w:rFonts w:ascii="Times New Roman" w:hAnsi="Times New Roman" w:eastAsia="仿宋_GB2312" w:cs="Times New Roman"/>
      <w:sz w:val="30"/>
    </w:rPr>
  </w:style>
  <w:style w:type="paragraph" w:styleId="13">
    <w:name w:val="Balloon Text"/>
    <w:basedOn w:val="1"/>
    <w:link w:val="40"/>
    <w:qFormat/>
    <w:uiPriority w:val="99"/>
    <w:rPr>
      <w:sz w:val="18"/>
      <w:szCs w:val="18"/>
    </w:rPr>
  </w:style>
  <w:style w:type="paragraph" w:styleId="14">
    <w:name w:val="footer"/>
    <w:basedOn w:val="1"/>
    <w:link w:val="59"/>
    <w:qFormat/>
    <w:uiPriority w:val="99"/>
    <w:pPr>
      <w:tabs>
        <w:tab w:val="center" w:pos="4153"/>
        <w:tab w:val="right" w:pos="8306"/>
      </w:tabs>
      <w:snapToGrid w:val="0"/>
      <w:jc w:val="left"/>
    </w:pPr>
    <w:rPr>
      <w:sz w:val="18"/>
    </w:rPr>
  </w:style>
  <w:style w:type="paragraph" w:styleId="15">
    <w:name w:val="header"/>
    <w:basedOn w:val="1"/>
    <w:link w:val="44"/>
    <w:qFormat/>
    <w:uiPriority w:val="99"/>
    <w:pPr>
      <w:pBdr>
        <w:bottom w:val="single" w:color="auto" w:sz="6" w:space="1"/>
      </w:pBdr>
      <w:tabs>
        <w:tab w:val="center" w:pos="4153"/>
        <w:tab w:val="right" w:pos="8306"/>
      </w:tabs>
      <w:snapToGrid w:val="0"/>
      <w:spacing w:line="360" w:lineRule="auto"/>
      <w:ind w:firstLine="200" w:firstLineChars="200"/>
      <w:jc w:val="center"/>
    </w:pPr>
    <w:rPr>
      <w:rFonts w:ascii="Times New Roman" w:hAnsi="Times New Roman" w:eastAsia="仿宋_GB2312" w:cs="Times New Roman"/>
      <w:kern w:val="0"/>
      <w:sz w:val="18"/>
      <w:szCs w:val="18"/>
    </w:rPr>
  </w:style>
  <w:style w:type="paragraph" w:styleId="16">
    <w:name w:val="toc 1"/>
    <w:basedOn w:val="1"/>
    <w:next w:val="1"/>
    <w:qFormat/>
    <w:uiPriority w:val="39"/>
  </w:style>
  <w:style w:type="paragraph" w:styleId="17">
    <w:name w:val="toc 2"/>
    <w:basedOn w:val="1"/>
    <w:next w:val="1"/>
    <w:qFormat/>
    <w:uiPriority w:val="39"/>
    <w:pPr>
      <w:ind w:left="420" w:leftChars="200"/>
    </w:pPr>
  </w:style>
  <w:style w:type="paragraph" w:styleId="18">
    <w:name w:val="Normal (Web)"/>
    <w:basedOn w:val="1"/>
    <w:qFormat/>
    <w:uiPriority w:val="0"/>
    <w:pPr>
      <w:spacing w:beforeAutospacing="1" w:afterAutospacing="1"/>
      <w:jc w:val="left"/>
    </w:pPr>
    <w:rPr>
      <w:rFonts w:cs="Times New Roman"/>
      <w:kern w:val="0"/>
      <w:sz w:val="24"/>
    </w:rPr>
  </w:style>
  <w:style w:type="paragraph" w:styleId="19">
    <w:name w:val="Title"/>
    <w:next w:val="1"/>
    <w:link w:val="49"/>
    <w:qFormat/>
    <w:uiPriority w:val="10"/>
    <w:pPr>
      <w:spacing w:before="80" w:after="80"/>
      <w:ind w:left="200" w:leftChars="200"/>
      <w:jc w:val="center"/>
      <w:outlineLvl w:val="2"/>
    </w:pPr>
    <w:rPr>
      <w:rFonts w:ascii="Cambria" w:hAnsi="Cambria" w:eastAsia="仿宋_GB2312" w:cs="Times New Roman"/>
      <w:b/>
      <w:bCs/>
      <w:sz w:val="30"/>
      <w:szCs w:val="32"/>
      <w:lang w:val="en-US" w:eastAsia="zh-CN" w:bidi="ar-SA"/>
    </w:rPr>
  </w:style>
  <w:style w:type="paragraph" w:styleId="20">
    <w:name w:val="annotation subject"/>
    <w:basedOn w:val="8"/>
    <w:next w:val="8"/>
    <w:link w:val="39"/>
    <w:qFormat/>
    <w:uiPriority w:val="99"/>
    <w:rPr>
      <w:b/>
      <w:bCs/>
    </w:rPr>
  </w:style>
  <w:style w:type="character" w:styleId="23">
    <w:name w:val="Strong"/>
    <w:basedOn w:val="22"/>
    <w:qFormat/>
    <w:uiPriority w:val="0"/>
    <w:rPr>
      <w:b/>
    </w:rPr>
  </w:style>
  <w:style w:type="character" w:styleId="24">
    <w:name w:val="page number"/>
    <w:qFormat/>
    <w:uiPriority w:val="0"/>
  </w:style>
  <w:style w:type="character" w:styleId="25">
    <w:name w:val="FollowedHyperlink"/>
    <w:basedOn w:val="22"/>
    <w:qFormat/>
    <w:uiPriority w:val="0"/>
    <w:rPr>
      <w:rFonts w:hint="eastAsia" w:ascii="宋体" w:hAnsi="宋体" w:eastAsia="宋体" w:cs="宋体"/>
      <w:color w:val="333333"/>
      <w:u w:val="none"/>
    </w:rPr>
  </w:style>
  <w:style w:type="character" w:styleId="26">
    <w:name w:val="Emphasis"/>
    <w:basedOn w:val="22"/>
    <w:qFormat/>
    <w:uiPriority w:val="0"/>
  </w:style>
  <w:style w:type="character" w:styleId="27">
    <w:name w:val="Hyperlink"/>
    <w:basedOn w:val="22"/>
    <w:qFormat/>
    <w:uiPriority w:val="99"/>
    <w:rPr>
      <w:rFonts w:hint="eastAsia" w:ascii="宋体" w:hAnsi="宋体" w:eastAsia="宋体" w:cs="宋体"/>
      <w:color w:val="333333"/>
      <w:u w:val="none"/>
    </w:rPr>
  </w:style>
  <w:style w:type="character" w:styleId="28">
    <w:name w:val="annotation reference"/>
    <w:basedOn w:val="22"/>
    <w:qFormat/>
    <w:uiPriority w:val="99"/>
    <w:rPr>
      <w:sz w:val="21"/>
      <w:szCs w:val="21"/>
    </w:rPr>
  </w:style>
  <w:style w:type="paragraph" w:customStyle="1" w:styleId="29">
    <w:name w:val="列出段落1"/>
    <w:basedOn w:val="1"/>
    <w:qFormat/>
    <w:uiPriority w:val="34"/>
    <w:pPr>
      <w:ind w:firstLine="420" w:firstLineChars="200"/>
    </w:pPr>
  </w:style>
  <w:style w:type="paragraph" w:customStyle="1" w:styleId="30">
    <w:name w:val="Char Char Char Char1"/>
    <w:basedOn w:val="1"/>
    <w:qFormat/>
    <w:uiPriority w:val="0"/>
    <w:pPr>
      <w:spacing w:after="160" w:line="240" w:lineRule="exact"/>
      <w:jc w:val="left"/>
    </w:pPr>
    <w:rPr>
      <w:rFonts w:ascii="Times New Roman" w:hAnsi="Times New Roman" w:eastAsia="宋体" w:cs="Times New Roman"/>
      <w:szCs w:val="20"/>
    </w:rPr>
  </w:style>
  <w:style w:type="paragraph" w:customStyle="1" w:styleId="31">
    <w:name w:val="reader-word-layer"/>
    <w:basedOn w:val="1"/>
    <w:qFormat/>
    <w:uiPriority w:val="0"/>
    <w:pPr>
      <w:widowControl/>
      <w:spacing w:before="100" w:beforeAutospacing="1" w:after="100" w:afterAutospacing="1" w:line="360" w:lineRule="auto"/>
      <w:jc w:val="left"/>
    </w:pPr>
    <w:rPr>
      <w:rFonts w:ascii="宋体" w:hAnsi="宋体" w:eastAsia="宋体" w:cs="宋体"/>
      <w:kern w:val="0"/>
      <w:sz w:val="24"/>
    </w:rPr>
  </w:style>
  <w:style w:type="paragraph" w:customStyle="1" w:styleId="32">
    <w:name w:val="p16"/>
    <w:basedOn w:val="1"/>
    <w:qFormat/>
    <w:uiPriority w:val="0"/>
    <w:pPr>
      <w:widowControl/>
      <w:spacing w:before="100" w:after="100" w:line="360" w:lineRule="auto"/>
      <w:jc w:val="left"/>
    </w:pPr>
    <w:rPr>
      <w:rFonts w:ascii="Times New Roman" w:hAnsi="Times New Roman" w:eastAsia="宋体" w:cs="Times New Roman"/>
      <w:kern w:val="0"/>
      <w:sz w:val="24"/>
    </w:rPr>
  </w:style>
  <w:style w:type="paragraph" w:customStyle="1" w:styleId="33">
    <w:name w:val="Char Char Char Char"/>
    <w:basedOn w:val="1"/>
    <w:qFormat/>
    <w:uiPriority w:val="0"/>
    <w:pPr>
      <w:spacing w:after="160" w:line="240" w:lineRule="exact"/>
      <w:jc w:val="left"/>
    </w:pPr>
    <w:rPr>
      <w:rFonts w:ascii="Times New Roman" w:hAnsi="Times New Roman" w:eastAsia="宋体" w:cs="Times New Roman"/>
      <w:szCs w:val="20"/>
    </w:rPr>
  </w:style>
  <w:style w:type="paragraph" w:customStyle="1" w:styleId="34">
    <w:name w:val="TOC Heading"/>
    <w:basedOn w:val="2"/>
    <w:next w:val="1"/>
    <w:qFormat/>
    <w:uiPriority w:val="39"/>
    <w:pPr>
      <w:widowControl/>
      <w:spacing w:before="480" w:after="0" w:line="276" w:lineRule="auto"/>
      <w:outlineLvl w:val="9"/>
    </w:pPr>
    <w:rPr>
      <w:rFonts w:ascii="Cambria" w:hAnsi="Cambria" w:eastAsia="宋体" w:cs="Times New Roman"/>
      <w:bCs/>
      <w:color w:val="365F91"/>
      <w:kern w:val="0"/>
      <w:sz w:val="28"/>
      <w:szCs w:val="28"/>
    </w:rPr>
  </w:style>
  <w:style w:type="paragraph" w:customStyle="1" w:styleId="35">
    <w:name w:val="List Paragraph"/>
    <w:basedOn w:val="1"/>
    <w:qFormat/>
    <w:uiPriority w:val="34"/>
    <w:pPr>
      <w:spacing w:line="360" w:lineRule="auto"/>
      <w:ind w:firstLine="420" w:firstLineChars="200"/>
    </w:pPr>
    <w:rPr>
      <w:rFonts w:ascii="Times New Roman" w:hAnsi="Times New Roman" w:eastAsia="仿宋_GB2312" w:cs="Times New Roman"/>
      <w:sz w:val="30"/>
    </w:rPr>
  </w:style>
  <w:style w:type="paragraph" w:customStyle="1" w:styleId="36">
    <w:name w:val="p0"/>
    <w:basedOn w:val="1"/>
    <w:qFormat/>
    <w:uiPriority w:val="0"/>
    <w:pPr>
      <w:widowControl/>
      <w:spacing w:line="360" w:lineRule="auto"/>
      <w:jc w:val="left"/>
    </w:pPr>
    <w:rPr>
      <w:rFonts w:ascii="Times New Roman" w:hAnsi="Times New Roman" w:eastAsia="宋体" w:cs="Times New Roman"/>
      <w:kern w:val="0"/>
      <w:szCs w:val="21"/>
    </w:rPr>
  </w:style>
  <w:style w:type="paragraph" w:customStyle="1" w:styleId="37">
    <w:name w:val="No Spacing"/>
    <w:qFormat/>
    <w:uiPriority w:val="1"/>
    <w:pPr>
      <w:widowControl w:val="0"/>
      <w:spacing w:line="320" w:lineRule="exact"/>
      <w:jc w:val="both"/>
    </w:pPr>
    <w:rPr>
      <w:rFonts w:ascii="宋体" w:hAnsi="宋体" w:eastAsia="宋体" w:cs="Times New Roman"/>
      <w:kern w:val="2"/>
      <w:sz w:val="21"/>
      <w:szCs w:val="24"/>
      <w:lang w:val="en-US" w:eastAsia="zh-CN" w:bidi="ar-SA"/>
    </w:rPr>
  </w:style>
  <w:style w:type="character" w:customStyle="1" w:styleId="38">
    <w:name w:val="批注文字 Char"/>
    <w:basedOn w:val="22"/>
    <w:link w:val="8"/>
    <w:qFormat/>
    <w:uiPriority w:val="99"/>
    <w:rPr>
      <w:rFonts w:ascii="Calibri" w:hAnsi="Calibri" w:eastAsia="宋体" w:cs="黑体"/>
      <w:kern w:val="2"/>
      <w:sz w:val="21"/>
      <w:szCs w:val="24"/>
    </w:rPr>
  </w:style>
  <w:style w:type="character" w:customStyle="1" w:styleId="39">
    <w:name w:val="批注主题 Char"/>
    <w:basedOn w:val="38"/>
    <w:link w:val="20"/>
    <w:qFormat/>
    <w:uiPriority w:val="99"/>
    <w:rPr>
      <w:rFonts w:ascii="Calibri" w:hAnsi="Calibri" w:eastAsia="宋体" w:cs="黑体"/>
      <w:b/>
      <w:bCs/>
      <w:kern w:val="2"/>
      <w:sz w:val="21"/>
      <w:szCs w:val="24"/>
    </w:rPr>
  </w:style>
  <w:style w:type="character" w:customStyle="1" w:styleId="40">
    <w:name w:val="批注框文本 Char"/>
    <w:basedOn w:val="22"/>
    <w:link w:val="13"/>
    <w:qFormat/>
    <w:uiPriority w:val="99"/>
    <w:rPr>
      <w:rFonts w:ascii="Calibri" w:hAnsi="Calibri" w:eastAsia="宋体" w:cs="黑体"/>
      <w:kern w:val="2"/>
      <w:sz w:val="18"/>
      <w:szCs w:val="18"/>
    </w:rPr>
  </w:style>
  <w:style w:type="character" w:customStyle="1" w:styleId="41">
    <w:name w:val="标题 3 Char"/>
    <w:basedOn w:val="22"/>
    <w:link w:val="4"/>
    <w:qFormat/>
    <w:uiPriority w:val="9"/>
    <w:rPr>
      <w:rFonts w:eastAsia="仿宋_GB2312"/>
      <w:b/>
      <w:bCs/>
      <w:kern w:val="2"/>
      <w:sz w:val="32"/>
      <w:szCs w:val="32"/>
    </w:rPr>
  </w:style>
  <w:style w:type="character" w:customStyle="1" w:styleId="42">
    <w:name w:val="标题 4 Char"/>
    <w:basedOn w:val="22"/>
    <w:link w:val="5"/>
    <w:qFormat/>
    <w:uiPriority w:val="9"/>
    <w:rPr>
      <w:rFonts w:ascii="Cambria" w:hAnsi="Cambria"/>
      <w:b/>
      <w:bCs/>
      <w:sz w:val="32"/>
      <w:szCs w:val="28"/>
    </w:rPr>
  </w:style>
  <w:style w:type="character" w:customStyle="1" w:styleId="43">
    <w:name w:val="标题 5 Char"/>
    <w:basedOn w:val="22"/>
    <w:link w:val="6"/>
    <w:qFormat/>
    <w:uiPriority w:val="9"/>
    <w:rPr>
      <w:rFonts w:eastAsia="仿宋_GB2312"/>
      <w:b/>
      <w:bCs/>
      <w:sz w:val="32"/>
      <w:szCs w:val="28"/>
    </w:rPr>
  </w:style>
  <w:style w:type="character" w:customStyle="1" w:styleId="44">
    <w:name w:val="页眉 Char"/>
    <w:link w:val="15"/>
    <w:qFormat/>
    <w:uiPriority w:val="99"/>
    <w:rPr>
      <w:rFonts w:eastAsia="仿宋_GB2312"/>
      <w:sz w:val="18"/>
      <w:szCs w:val="18"/>
    </w:rPr>
  </w:style>
  <w:style w:type="character" w:customStyle="1" w:styleId="45">
    <w:name w:val="日期 Char"/>
    <w:link w:val="12"/>
    <w:qFormat/>
    <w:uiPriority w:val="99"/>
    <w:rPr>
      <w:rFonts w:eastAsia="仿宋_GB2312"/>
      <w:kern w:val="2"/>
      <w:sz w:val="30"/>
      <w:szCs w:val="24"/>
    </w:rPr>
  </w:style>
  <w:style w:type="character" w:customStyle="1" w:styleId="46">
    <w:name w:val="apple-converted-space"/>
    <w:basedOn w:val="22"/>
    <w:qFormat/>
    <w:uiPriority w:val="0"/>
  </w:style>
  <w:style w:type="character" w:customStyle="1" w:styleId="47">
    <w:name w:val="题注 Char"/>
    <w:link w:val="7"/>
    <w:qFormat/>
    <w:uiPriority w:val="0"/>
    <w:rPr>
      <w:rFonts w:ascii="Arial" w:hAnsi="Arial" w:eastAsia="黑体" w:cs="Arial"/>
    </w:rPr>
  </w:style>
  <w:style w:type="character" w:customStyle="1" w:styleId="48">
    <w:name w:val="bds_more2"/>
    <w:basedOn w:val="22"/>
    <w:qFormat/>
    <w:uiPriority w:val="0"/>
  </w:style>
  <w:style w:type="character" w:customStyle="1" w:styleId="49">
    <w:name w:val="标题 Char"/>
    <w:link w:val="19"/>
    <w:qFormat/>
    <w:uiPriority w:val="10"/>
    <w:rPr>
      <w:rFonts w:ascii="Cambria" w:hAnsi="Cambria" w:eastAsia="仿宋_GB2312"/>
      <w:b/>
      <w:bCs/>
      <w:sz w:val="30"/>
      <w:szCs w:val="32"/>
    </w:rPr>
  </w:style>
  <w:style w:type="character" w:customStyle="1" w:styleId="50">
    <w:name w:val="正文文本 Char"/>
    <w:link w:val="9"/>
    <w:qFormat/>
    <w:uiPriority w:val="99"/>
    <w:rPr>
      <w:rFonts w:eastAsia="仿宋_GB2312"/>
      <w:kern w:val="2"/>
      <w:sz w:val="30"/>
      <w:szCs w:val="24"/>
    </w:rPr>
  </w:style>
  <w:style w:type="character" w:customStyle="1" w:styleId="51">
    <w:name w:val="bds_more"/>
    <w:basedOn w:val="22"/>
    <w:qFormat/>
    <w:uiPriority w:val="0"/>
  </w:style>
  <w:style w:type="character" w:customStyle="1" w:styleId="52">
    <w:name w:val="标题 1 Char"/>
    <w:link w:val="2"/>
    <w:qFormat/>
    <w:uiPriority w:val="9"/>
    <w:rPr>
      <w:rFonts w:ascii="Calibri" w:hAnsi="Calibri" w:eastAsia="宋体" w:cs="黑体"/>
      <w:b/>
      <w:kern w:val="44"/>
      <w:sz w:val="44"/>
      <w:szCs w:val="24"/>
    </w:rPr>
  </w:style>
  <w:style w:type="character" w:customStyle="1" w:styleId="53">
    <w:name w:val="正文文本缩进 Char"/>
    <w:link w:val="10"/>
    <w:qFormat/>
    <w:uiPriority w:val="0"/>
    <w:rPr>
      <w:rFonts w:eastAsia="幼圆"/>
      <w:sz w:val="28"/>
      <w:szCs w:val="24"/>
    </w:rPr>
  </w:style>
  <w:style w:type="character" w:customStyle="1" w:styleId="54">
    <w:name w:val="标题 2 Char"/>
    <w:link w:val="3"/>
    <w:qFormat/>
    <w:uiPriority w:val="9"/>
    <w:rPr>
      <w:rFonts w:ascii="Arial" w:hAnsi="Arial" w:eastAsia="黑体" w:cs="黑体"/>
      <w:b/>
      <w:kern w:val="2"/>
      <w:sz w:val="32"/>
      <w:szCs w:val="24"/>
    </w:rPr>
  </w:style>
  <w:style w:type="character" w:customStyle="1" w:styleId="55">
    <w:name w:val="bds_nopic2"/>
    <w:basedOn w:val="22"/>
    <w:uiPriority w:val="0"/>
  </w:style>
  <w:style w:type="character" w:customStyle="1" w:styleId="56">
    <w:name w:val="15"/>
    <w:qFormat/>
    <w:uiPriority w:val="0"/>
    <w:rPr>
      <w:rFonts w:hint="default" w:ascii="Times New Roman" w:hAnsi="Times New Roman" w:cs="Times New Roman"/>
      <w:color w:val="0000FF"/>
      <w:u w:val="single"/>
    </w:rPr>
  </w:style>
  <w:style w:type="character" w:customStyle="1" w:styleId="57">
    <w:name w:val="bds_more1"/>
    <w:qFormat/>
    <w:uiPriority w:val="0"/>
    <w:rPr>
      <w:rFonts w:hint="eastAsia" w:ascii="宋体" w:hAnsi="宋体" w:eastAsia="宋体" w:cs="宋体"/>
    </w:rPr>
  </w:style>
  <w:style w:type="character" w:customStyle="1" w:styleId="58">
    <w:name w:val="bds_nopic1"/>
    <w:basedOn w:val="22"/>
    <w:qFormat/>
    <w:uiPriority w:val="0"/>
  </w:style>
  <w:style w:type="character" w:customStyle="1" w:styleId="59">
    <w:name w:val="页脚 Char"/>
    <w:link w:val="14"/>
    <w:qFormat/>
    <w:uiPriority w:val="99"/>
    <w:rPr>
      <w:rFonts w:ascii="Calibri" w:hAnsi="Calibri" w:eastAsia="宋体" w:cs="黑体"/>
      <w:kern w:val="2"/>
      <w:sz w:val="18"/>
      <w:szCs w:val="24"/>
    </w:rPr>
  </w:style>
  <w:style w:type="character" w:customStyle="1" w:styleId="60">
    <w:name w:val="bds_nopic"/>
    <w:basedOn w:val="22"/>
    <w:qFormat/>
    <w:uiPriority w:val="0"/>
  </w:style>
  <w:style w:type="character" w:customStyle="1" w:styleId="61">
    <w:name w:val="正文文本 Char1"/>
    <w:basedOn w:val="22"/>
    <w:qFormat/>
    <w:uiPriority w:val="0"/>
    <w:rPr>
      <w:rFonts w:ascii="Calibri" w:hAnsi="Calibri" w:eastAsia="宋体" w:cs="黑体"/>
      <w:kern w:val="2"/>
      <w:sz w:val="21"/>
      <w:szCs w:val="24"/>
    </w:rPr>
  </w:style>
  <w:style w:type="character" w:customStyle="1" w:styleId="62">
    <w:name w:val="日期 Char1"/>
    <w:basedOn w:val="22"/>
    <w:qFormat/>
    <w:uiPriority w:val="0"/>
    <w:rPr>
      <w:rFonts w:ascii="Calibri" w:hAnsi="Calibri" w:eastAsia="宋体" w:cs="黑体"/>
      <w:kern w:val="2"/>
      <w:sz w:val="21"/>
      <w:szCs w:val="24"/>
    </w:rPr>
  </w:style>
  <w:style w:type="character" w:customStyle="1" w:styleId="63">
    <w:name w:val="正文文本缩进 Char1"/>
    <w:basedOn w:val="22"/>
    <w:qFormat/>
    <w:uiPriority w:val="0"/>
    <w:rPr>
      <w:rFonts w:ascii="Calibri" w:hAnsi="Calibri" w:eastAsia="宋体" w:cs="黑体"/>
      <w:kern w:val="2"/>
      <w:sz w:val="21"/>
      <w:szCs w:val="24"/>
    </w:rPr>
  </w:style>
  <w:style w:type="character" w:customStyle="1" w:styleId="64">
    <w:name w:val="页眉 Char1"/>
    <w:basedOn w:val="22"/>
    <w:qFormat/>
    <w:uiPriority w:val="0"/>
    <w:rPr>
      <w:rFonts w:ascii="Calibri" w:hAnsi="Calibri" w:eastAsia="宋体" w:cs="黑体"/>
      <w:kern w:val="2"/>
      <w:sz w:val="18"/>
      <w:szCs w:val="18"/>
    </w:rPr>
  </w:style>
  <w:style w:type="character" w:customStyle="1" w:styleId="65">
    <w:name w:val="标题 Char1"/>
    <w:basedOn w:val="22"/>
    <w:qFormat/>
    <w:uiPriority w:val="0"/>
    <w:rPr>
      <w:rFonts w:ascii="Calibri Light" w:hAnsi="Calibri Light" w:cs="黑体"/>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textRotate="1"/>
    <customShpInfo spid="_x0000_s1027"/>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Pages>
  <Words>11028</Words>
  <Characters>15764</Characters>
  <Lines>160</Lines>
  <Paragraphs>45</Paragraphs>
  <TotalTime>0</TotalTime>
  <ScaleCrop>false</ScaleCrop>
  <LinksUpToDate>false</LinksUpToDate>
  <CharactersWithSpaces>17071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2017-10-03T12:49:00Z</dcterms:created>
  <dc:creator>Administrator</dc:creator>
  <cp:lastModifiedBy>杨涛在遥望山外</cp:lastModifiedBy>
  <dcterms:modified xsi:type="dcterms:W3CDTF">2023-04-13T03:33:58Z</dcterms:modified>
  <dc:title>息烽县</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E4EB625A3CC348ECA1A6BB24A08CDCB6</vt:lpwstr>
  </property>
</Properties>
</file>