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eastAsia="宋体" w:cs="宋体"/>
          <w:b/>
          <w:color w:val="000000" w:themeColor="text1"/>
          <w:sz w:val="72"/>
          <w14:textFill>
            <w14:solidFill>
              <w14:schemeClr w14:val="tx1"/>
            </w14:solidFill>
          </w14:textFill>
        </w:rPr>
      </w:pPr>
    </w:p>
    <w:p>
      <w:pPr>
        <w:rPr>
          <w:rFonts w:ascii="宋体" w:hAnsi="宋体" w:eastAsia="宋体" w:cs="宋体"/>
          <w:b/>
          <w:color w:val="000000" w:themeColor="text1"/>
          <w:sz w:val="72"/>
          <w14:textFill>
            <w14:solidFill>
              <w14:schemeClr w14:val="tx1"/>
            </w14:solidFill>
          </w14:textFill>
        </w:rPr>
      </w:pPr>
    </w:p>
    <w:p>
      <w:pPr>
        <w:jc w:val="center"/>
        <w:rPr>
          <w:rFonts w:ascii="宋体" w:hAnsi="宋体" w:eastAsia="宋体" w:cs="宋体"/>
          <w:b/>
          <w:color w:val="000000" w:themeColor="text1"/>
          <w:sz w:val="72"/>
          <w14:textFill>
            <w14:solidFill>
              <w14:schemeClr w14:val="tx1"/>
            </w14:solidFill>
          </w14:textFill>
        </w:rPr>
      </w:pPr>
    </w:p>
    <w:p>
      <w:pPr>
        <w:jc w:val="center"/>
        <w:rPr>
          <w:rFonts w:ascii="宋体" w:hAnsi="宋体" w:eastAsia="宋体" w:cs="宋体"/>
          <w:b/>
          <w:color w:val="000000" w:themeColor="text1"/>
          <w:sz w:val="72"/>
          <w14:textFill>
            <w14:solidFill>
              <w14:schemeClr w14:val="tx1"/>
            </w14:solidFill>
          </w14:textFill>
        </w:rPr>
      </w:pPr>
    </w:p>
    <w:p>
      <w:pPr>
        <w:spacing w:line="580" w:lineRule="exact"/>
        <w:jc w:val="center"/>
        <w:rPr>
          <w:rFonts w:ascii="宋体" w:hAnsi="宋体" w:eastAsia="宋体" w:cs="宋体"/>
          <w:b/>
          <w:color w:val="000000" w:themeColor="text1"/>
          <w:sz w:val="72"/>
          <w14:textFill>
            <w14:solidFill>
              <w14:schemeClr w14:val="tx1"/>
            </w14:solidFill>
          </w14:textFill>
        </w:rPr>
      </w:pPr>
    </w:p>
    <w:p>
      <w:pPr>
        <w:jc w:val="center"/>
        <w:rPr>
          <w:rFonts w:ascii="宋体" w:hAnsi="宋体" w:eastAsia="宋体" w:cs="宋体"/>
          <w:b/>
          <w:color w:val="000000" w:themeColor="text1"/>
          <w:sz w:val="72"/>
          <w14:textFill>
            <w14:solidFill>
              <w14:schemeClr w14:val="tx1"/>
            </w14:solidFill>
          </w14:textFill>
        </w:rPr>
      </w:pPr>
      <w:r>
        <w:rPr>
          <w:rFonts w:hint="eastAsia" w:ascii="方正小标宋简体" w:eastAsia="方正小标宋简体"/>
          <w:b/>
          <w:sz w:val="52"/>
          <w:szCs w:val="52"/>
        </w:rPr>
        <w:t>息烽县蓝浆果种植项目</w:t>
      </w:r>
    </w:p>
    <w:p>
      <w:pPr>
        <w:jc w:val="center"/>
        <w:rPr>
          <w:rFonts w:ascii="宋体" w:hAnsi="宋体" w:eastAsia="宋体" w:cs="宋体"/>
          <w:b/>
          <w:color w:val="000000" w:themeColor="text1"/>
          <w:sz w:val="72"/>
          <w14:textFill>
            <w14:solidFill>
              <w14:schemeClr w14:val="tx1"/>
            </w14:solidFill>
          </w14:textFill>
        </w:rPr>
      </w:pPr>
    </w:p>
    <w:p>
      <w:pPr>
        <w:jc w:val="center"/>
        <w:rPr>
          <w:rFonts w:ascii="宋体" w:hAnsi="宋体" w:eastAsia="宋体" w:cs="宋体"/>
          <w:b/>
          <w:color w:val="000000" w:themeColor="text1"/>
          <w:sz w:val="72"/>
          <w14:textFill>
            <w14:solidFill>
              <w14:schemeClr w14:val="tx1"/>
            </w14:solidFill>
          </w14:textFill>
        </w:rPr>
      </w:pPr>
    </w:p>
    <w:p>
      <w:pPr>
        <w:rPr>
          <w:rFonts w:ascii="宋体" w:hAnsi="宋体" w:eastAsia="宋体" w:cs="宋体"/>
          <w:b/>
          <w:color w:val="000000" w:themeColor="text1"/>
          <w:sz w:val="7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p>
    <w:p>
      <w:pPr>
        <w:jc w:val="center"/>
        <w:rPr>
          <w:rFonts w:ascii="楷体" w:hAnsi="楷体" w:eastAsia="楷体"/>
          <w:color w:val="000000" w:themeColor="text1"/>
          <w:kern w:val="24"/>
          <w:sz w:val="32"/>
          <w:szCs w:val="32"/>
          <w14:textFill>
            <w14:solidFill>
              <w14:schemeClr w14:val="tx1"/>
            </w14:solidFill>
          </w14:textFill>
        </w:rPr>
      </w:pPr>
      <w:r>
        <w:rPr>
          <w:rFonts w:hint="eastAsia" w:ascii="楷体" w:hAnsi="楷体" w:eastAsia="楷体"/>
          <w:color w:val="000000" w:themeColor="text1"/>
          <w:kern w:val="24"/>
          <w:sz w:val="32"/>
          <w:szCs w:val="32"/>
          <w14:textFill>
            <w14:solidFill>
              <w14:schemeClr w14:val="tx1"/>
            </w14:solidFill>
          </w14:textFill>
        </w:rPr>
        <w:t>中国·贵州·息烽</w:t>
      </w:r>
    </w:p>
    <w:p>
      <w:pPr>
        <w:jc w:val="center"/>
        <w:rPr>
          <w:rFonts w:ascii="楷体" w:hAnsi="楷体" w:eastAsia="楷体"/>
          <w:color w:val="000000" w:themeColor="text1"/>
          <w:kern w:val="24"/>
          <w:sz w:val="32"/>
          <w:szCs w:val="32"/>
          <w14:textFill>
            <w14:solidFill>
              <w14:schemeClr w14:val="tx1"/>
            </w14:solidFill>
          </w14:textFill>
        </w:rPr>
      </w:pPr>
    </w:p>
    <w:p>
      <w:pPr>
        <w:rPr>
          <w:rFonts w:ascii="楷体" w:hAnsi="楷体" w:eastAsia="楷体"/>
          <w:kern w:val="0"/>
          <w:sz w:val="32"/>
          <w:szCs w:val="32"/>
        </w:rPr>
      </w:pPr>
    </w:p>
    <w:p>
      <w:pPr>
        <w:keepNext/>
        <w:keepLines/>
        <w:widowControl/>
        <w:tabs>
          <w:tab w:val="center" w:pos="4153"/>
          <w:tab w:val="left" w:pos="5910"/>
        </w:tabs>
        <w:snapToGrid w:val="0"/>
        <w:spacing w:before="240" w:after="240" w:afterLines="100"/>
        <w:jc w:val="center"/>
        <w:rPr>
          <w:rFonts w:ascii="宋体" w:hAnsi="宋体" w:eastAsia="宋体" w:cs="宋体"/>
          <w:b/>
          <w:bCs/>
          <w:color w:val="000000" w:themeColor="text1"/>
          <w:kern w:val="0"/>
          <w:sz w:val="48"/>
          <w:szCs w:val="28"/>
          <w:lang w:val="zh-CN"/>
          <w14:textFill>
            <w14:solidFill>
              <w14:schemeClr w14:val="tx1"/>
            </w14:solidFill>
          </w14:textFill>
        </w:rPr>
        <w:sectPr>
          <w:headerReference r:id="rId3" w:type="first"/>
          <w:footerReference r:id="rId4" w:type="first"/>
          <w:pgSz w:w="11906" w:h="16838"/>
          <w:pgMar w:top="2098" w:right="1474" w:bottom="1985" w:left="1588" w:header="851" w:footer="992" w:gutter="0"/>
          <w:pgNumType w:fmt="numberInDash"/>
          <w:cols w:space="425" w:num="1"/>
          <w:titlePg/>
          <w:docGrid w:linePitch="381" w:charSpace="0"/>
        </w:sectPr>
      </w:pPr>
    </w:p>
    <w:sdt>
      <w:sdtPr>
        <w:rPr>
          <w:rFonts w:eastAsia="仿宋_GB2312" w:asciiTheme="minorHAnsi" w:hAnsiTheme="minorHAnsi" w:cstheme="minorBidi"/>
          <w:color w:val="auto"/>
          <w:kern w:val="2"/>
          <w:sz w:val="28"/>
          <w:szCs w:val="22"/>
          <w:lang w:val="zh-CN"/>
        </w:rPr>
        <w:id w:val="-335067470"/>
        <w:docPartObj>
          <w:docPartGallery w:val="Table of Contents"/>
          <w:docPartUnique/>
        </w:docPartObj>
      </w:sdtPr>
      <w:sdtEndPr>
        <w:rPr>
          <w:rFonts w:hint="eastAsia" w:ascii="仿宋_GB2312" w:hAnsi="仿宋" w:eastAsia="仿宋_GB2312" w:cstheme="minorBidi"/>
          <w:b/>
          <w:bCs/>
          <w:color w:val="auto"/>
          <w:kern w:val="2"/>
          <w:sz w:val="28"/>
          <w:szCs w:val="28"/>
          <w:lang w:val="zh-CN"/>
        </w:rPr>
      </w:sdtEndPr>
      <w:sdtContent>
        <w:p>
          <w:pPr>
            <w:pStyle w:val="42"/>
            <w:spacing w:before="0" w:line="580" w:lineRule="exact"/>
            <w:jc w:val="center"/>
            <w:rPr>
              <w:rFonts w:ascii="方正小标宋简体" w:eastAsia="方正小标宋简体"/>
              <w:b/>
              <w:bCs/>
              <w:sz w:val="44"/>
              <w:szCs w:val="44"/>
            </w:rPr>
          </w:pPr>
          <w:r>
            <w:rPr>
              <w:rFonts w:hint="eastAsia" w:ascii="方正小标宋简体" w:eastAsia="方正小标宋简体"/>
              <w:b/>
              <w:bCs/>
              <w:sz w:val="44"/>
              <w:szCs w:val="44"/>
              <w:lang w:val="zh-CN"/>
            </w:rPr>
            <w:t>目录</w:t>
          </w:r>
        </w:p>
        <w:p>
          <w:pPr>
            <w:pStyle w:val="11"/>
            <w:spacing w:line="580" w:lineRule="exact"/>
            <w:jc w:val="distribute"/>
            <w:rPr>
              <w:rFonts w:ascii="仿宋_GB2312" w:hAnsiTheme="minorHAnsi" w:cstheme="minorBidi"/>
              <w:b w:val="0"/>
              <w:bCs w:val="0"/>
              <w:kern w:val="2"/>
              <w:sz w:val="22"/>
              <w:szCs w:val="24"/>
              <w:shd w:val="clear" w:color="auto" w:fill="auto"/>
            </w:rPr>
          </w:pPr>
          <w:r>
            <w:rPr>
              <w:rFonts w:hint="eastAsia" w:ascii="仿宋_GB2312" w:hAnsi="仿宋" w:cs="Times New Roman"/>
            </w:rPr>
            <w:fldChar w:fldCharType="begin"/>
          </w:r>
          <w:r>
            <w:rPr>
              <w:rFonts w:hint="eastAsia" w:ascii="仿宋_GB2312" w:hAnsi="仿宋" w:cs="Times New Roman"/>
            </w:rPr>
            <w:instrText xml:space="preserve"> TOC \o "1-3" \h \z \u </w:instrText>
          </w:r>
          <w:r>
            <w:rPr>
              <w:rFonts w:hint="eastAsia" w:ascii="仿宋_GB2312" w:hAnsi="仿宋" w:cs="Times New Roman"/>
            </w:rPr>
            <w:fldChar w:fldCharType="separate"/>
          </w:r>
          <w:r>
            <w:fldChar w:fldCharType="begin"/>
          </w:r>
          <w:r>
            <w:instrText xml:space="preserve"> HYPERLINK \l "_Toc78441326" </w:instrText>
          </w:r>
          <w:r>
            <w:fldChar w:fldCharType="separate"/>
          </w:r>
          <w:r>
            <w:rPr>
              <w:rStyle w:val="20"/>
              <w:rFonts w:hint="eastAsia" w:ascii="仿宋_GB2312" w:hAnsi="宋体" w:cs="宋体"/>
              <w:sz w:val="32"/>
              <w:szCs w:val="32"/>
            </w:rPr>
            <w:t>第一章 区域投资环境</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_Toc78441326 \h </w:instrText>
          </w:r>
          <w:r>
            <w:rPr>
              <w:rFonts w:hint="eastAsia" w:ascii="仿宋_GB2312"/>
              <w:sz w:val="32"/>
              <w:szCs w:val="32"/>
            </w:rPr>
            <w:fldChar w:fldCharType="separate"/>
          </w:r>
          <w:r>
            <w:rPr>
              <w:rFonts w:ascii="仿宋_GB2312"/>
              <w:sz w:val="32"/>
              <w:szCs w:val="32"/>
            </w:rPr>
            <w:t>1</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"_Toc78441327" </w:instrText>
          </w:r>
          <w:r>
            <w:fldChar w:fldCharType="separate"/>
          </w:r>
          <w:r>
            <w:rPr>
              <w:rStyle w:val="20"/>
              <w:rFonts w:hint="eastAsia" w:ascii="仿宋_GB2312" w:hAnsi="黑体" w:cs="宋体"/>
              <w:sz w:val="32"/>
              <w:szCs w:val="32"/>
            </w:rPr>
            <w:t>一、息烽发展概况</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_Toc78441327 \h </w:instrText>
          </w:r>
          <w:r>
            <w:rPr>
              <w:rFonts w:hint="eastAsia" w:ascii="仿宋_GB2312"/>
              <w:sz w:val="32"/>
              <w:szCs w:val="32"/>
            </w:rPr>
            <w:fldChar w:fldCharType="separate"/>
          </w:r>
          <w:r>
            <w:rPr>
              <w:rFonts w:ascii="仿宋_GB2312"/>
              <w:sz w:val="32"/>
              <w:szCs w:val="32"/>
            </w:rPr>
            <w:t>1</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"_Toc78441328" </w:instrText>
          </w:r>
          <w:r>
            <w:fldChar w:fldCharType="separate"/>
          </w:r>
          <w:r>
            <w:rPr>
              <w:rStyle w:val="20"/>
              <w:rFonts w:hint="eastAsia" w:ascii="仿宋_GB2312" w:hAnsi="黑体" w:cs="宋体"/>
              <w:sz w:val="32"/>
              <w:szCs w:val="32"/>
            </w:rPr>
            <w:t>二、经济社会发展</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_Toc78441328 \h </w:instrText>
          </w:r>
          <w:r>
            <w:rPr>
              <w:rFonts w:hint="eastAsia" w:ascii="仿宋_GB2312"/>
              <w:sz w:val="32"/>
              <w:szCs w:val="32"/>
            </w:rPr>
            <w:fldChar w:fldCharType="separate"/>
          </w:r>
          <w:r>
            <w:rPr>
              <w:rFonts w:ascii="仿宋_GB2312"/>
              <w:sz w:val="32"/>
              <w:szCs w:val="32"/>
            </w:rPr>
            <w:t>2</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"_Toc78441329" </w:instrText>
          </w:r>
          <w:r>
            <w:fldChar w:fldCharType="separate"/>
          </w:r>
          <w:r>
            <w:rPr>
              <w:rStyle w:val="20"/>
              <w:rFonts w:hint="eastAsia" w:ascii="仿宋_GB2312" w:hAnsi="黑体" w:cs="宋体"/>
              <w:sz w:val="32"/>
              <w:szCs w:val="32"/>
            </w:rPr>
            <w:t>三、发展规划及潜力</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_Toc78441329 \h </w:instrText>
          </w:r>
          <w:r>
            <w:rPr>
              <w:rFonts w:hint="eastAsia" w:ascii="仿宋_GB2312"/>
              <w:sz w:val="32"/>
              <w:szCs w:val="32"/>
            </w:rPr>
            <w:fldChar w:fldCharType="separate"/>
          </w:r>
          <w:r>
            <w:rPr>
              <w:rFonts w:ascii="仿宋_GB2312"/>
              <w:sz w:val="32"/>
              <w:szCs w:val="32"/>
            </w:rPr>
            <w:t>3</w:t>
          </w:r>
          <w:r>
            <w:rPr>
              <w:rFonts w:hint="eastAsia" w:ascii="仿宋_GB2312"/>
              <w:sz w:val="32"/>
              <w:szCs w:val="32"/>
            </w:rPr>
            <w:fldChar w:fldCharType="end"/>
          </w:r>
          <w:r>
            <w:rPr>
              <w:rFonts w:hint="eastAsia" w:ascii="仿宋_GB2312"/>
              <w:sz w:val="32"/>
              <w:szCs w:val="32"/>
            </w:rPr>
            <w:fldChar w:fldCharType="end"/>
          </w:r>
        </w:p>
        <w:p>
          <w:pPr>
            <w:pStyle w:val="11"/>
            <w:spacing w:line="580" w:lineRule="exact"/>
            <w:jc w:val="distribute"/>
            <w:rPr>
              <w:rFonts w:ascii="仿宋_GB2312" w:hAnsiTheme="minorHAnsi" w:cstheme="minorBidi"/>
              <w:b w:val="0"/>
              <w:bCs w:val="0"/>
              <w:kern w:val="2"/>
              <w:sz w:val="22"/>
              <w:szCs w:val="24"/>
              <w:shd w:val="clear" w:color="auto" w:fill="auto"/>
            </w:rPr>
          </w:pPr>
          <w:r>
            <w:fldChar w:fldCharType="begin"/>
          </w:r>
          <w:r>
            <w:instrText xml:space="preserve"> HYPERLINK \l "_Toc78441330" </w:instrText>
          </w:r>
          <w:r>
            <w:fldChar w:fldCharType="separate"/>
          </w:r>
          <w:r>
            <w:rPr>
              <w:rStyle w:val="20"/>
              <w:rFonts w:hint="eastAsia" w:ascii="仿宋_GB2312" w:hAnsi="宋体" w:cs="宋体"/>
              <w:sz w:val="32"/>
              <w:szCs w:val="32"/>
            </w:rPr>
            <w:t>第二章 项目投资优势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_Toc78441330 \h </w:instrText>
          </w:r>
          <w:r>
            <w:rPr>
              <w:rFonts w:hint="eastAsia" w:ascii="仿宋_GB2312"/>
              <w:sz w:val="32"/>
              <w:szCs w:val="32"/>
            </w:rPr>
            <w:fldChar w:fldCharType="separate"/>
          </w:r>
          <w:r>
            <w:rPr>
              <w:rFonts w:ascii="仿宋_GB2312"/>
              <w:sz w:val="32"/>
              <w:szCs w:val="32"/>
            </w:rPr>
            <w:t>4</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"_Toc78441331" </w:instrText>
          </w:r>
          <w:r>
            <w:fldChar w:fldCharType="separate"/>
          </w:r>
          <w:r>
            <w:rPr>
              <w:rStyle w:val="20"/>
              <w:rFonts w:hint="eastAsia" w:ascii="仿宋_GB2312" w:hAnsi="黑体" w:cs="宋体"/>
              <w:sz w:val="32"/>
              <w:szCs w:val="32"/>
            </w:rPr>
            <w:t>一、蓝莓种植优势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_Toc78441331 \h </w:instrText>
          </w:r>
          <w:r>
            <w:rPr>
              <w:rFonts w:hint="eastAsia" w:ascii="仿宋_GB2312"/>
              <w:sz w:val="32"/>
              <w:szCs w:val="32"/>
            </w:rPr>
            <w:fldChar w:fldCharType="separate"/>
          </w:r>
          <w:r>
            <w:rPr>
              <w:rFonts w:ascii="仿宋_GB2312"/>
              <w:sz w:val="32"/>
              <w:szCs w:val="32"/>
            </w:rPr>
            <w:t>4</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"_Toc78441332" </w:instrText>
          </w:r>
          <w:r>
            <w:fldChar w:fldCharType="separate"/>
          </w:r>
          <w:r>
            <w:rPr>
              <w:rStyle w:val="20"/>
              <w:rFonts w:hint="eastAsia" w:ascii="仿宋_GB2312" w:hAnsi="黑体" w:cs="宋体"/>
              <w:sz w:val="32"/>
              <w:szCs w:val="32"/>
            </w:rPr>
            <w:t>二、产业基础优势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_Toc78441332 \h </w:instrText>
          </w:r>
          <w:r>
            <w:rPr>
              <w:rFonts w:hint="eastAsia" w:ascii="仿宋_GB2312"/>
              <w:sz w:val="32"/>
              <w:szCs w:val="32"/>
            </w:rPr>
            <w:fldChar w:fldCharType="separate"/>
          </w:r>
          <w:r>
            <w:rPr>
              <w:rFonts w:ascii="仿宋_GB2312"/>
              <w:sz w:val="32"/>
              <w:szCs w:val="32"/>
            </w:rPr>
            <w:t>4</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"_Toc78441333" </w:instrText>
          </w:r>
          <w:r>
            <w:fldChar w:fldCharType="separate"/>
          </w:r>
          <w:r>
            <w:rPr>
              <w:rStyle w:val="20"/>
              <w:rFonts w:hint="eastAsia" w:ascii="仿宋_GB2312" w:hAnsi="黑体" w:cs="宋体"/>
              <w:sz w:val="32"/>
              <w:szCs w:val="32"/>
            </w:rPr>
            <w:t>三、区位交通优势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_Toc78441333 \h </w:instrText>
          </w:r>
          <w:r>
            <w:rPr>
              <w:rFonts w:hint="eastAsia" w:ascii="仿宋_GB2312"/>
              <w:sz w:val="32"/>
              <w:szCs w:val="32"/>
            </w:rPr>
            <w:fldChar w:fldCharType="separate"/>
          </w:r>
          <w:r>
            <w:rPr>
              <w:rFonts w:ascii="仿宋_GB2312"/>
              <w:sz w:val="32"/>
              <w:szCs w:val="32"/>
            </w:rPr>
            <w:t>5</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"_Toc78441334" </w:instrText>
          </w:r>
          <w:r>
            <w:fldChar w:fldCharType="separate"/>
          </w:r>
          <w:r>
            <w:rPr>
              <w:rStyle w:val="20"/>
              <w:rFonts w:hint="eastAsia" w:ascii="仿宋_GB2312" w:hAnsi="黑体" w:cs="宋体"/>
              <w:sz w:val="32"/>
              <w:szCs w:val="32"/>
            </w:rPr>
            <w:t>四、营商环境优势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_Toc78441334 \h </w:instrText>
          </w:r>
          <w:r>
            <w:rPr>
              <w:rFonts w:hint="eastAsia" w:ascii="仿宋_GB2312"/>
              <w:sz w:val="32"/>
              <w:szCs w:val="32"/>
            </w:rPr>
            <w:fldChar w:fldCharType="separate"/>
          </w:r>
          <w:r>
            <w:rPr>
              <w:rFonts w:ascii="仿宋_GB2312"/>
              <w:sz w:val="32"/>
              <w:szCs w:val="32"/>
            </w:rPr>
            <w:t>6</w:t>
          </w:r>
          <w:r>
            <w:rPr>
              <w:rFonts w:hint="eastAsia" w:ascii="仿宋_GB2312"/>
              <w:sz w:val="32"/>
              <w:szCs w:val="32"/>
            </w:rPr>
            <w:fldChar w:fldCharType="end"/>
          </w:r>
          <w:r>
            <w:rPr>
              <w:rFonts w:hint="eastAsia" w:ascii="仿宋_GB2312"/>
              <w:sz w:val="32"/>
              <w:szCs w:val="32"/>
            </w:rPr>
            <w:fldChar w:fldCharType="end"/>
          </w:r>
        </w:p>
        <w:p>
          <w:pPr>
            <w:pStyle w:val="11"/>
            <w:spacing w:line="580" w:lineRule="exact"/>
            <w:jc w:val="distribute"/>
            <w:rPr>
              <w:rFonts w:ascii="仿宋_GB2312" w:hAnsiTheme="minorHAnsi" w:cstheme="minorBidi"/>
              <w:b w:val="0"/>
              <w:bCs w:val="0"/>
              <w:kern w:val="2"/>
              <w:sz w:val="22"/>
              <w:szCs w:val="24"/>
              <w:shd w:val="clear" w:color="auto" w:fill="auto"/>
            </w:rPr>
          </w:pPr>
          <w:r>
            <w:fldChar w:fldCharType="begin"/>
          </w:r>
          <w:r>
            <w:instrText xml:space="preserve"> HYPERLINK \l "_Toc78441335" </w:instrText>
          </w:r>
          <w:r>
            <w:fldChar w:fldCharType="separate"/>
          </w:r>
          <w:r>
            <w:rPr>
              <w:rStyle w:val="20"/>
              <w:rFonts w:hint="eastAsia" w:ascii="仿宋_GB2312" w:hAnsi="宋体" w:cs="宋体"/>
              <w:sz w:val="32"/>
              <w:szCs w:val="32"/>
            </w:rPr>
            <w:t>第三章 项目开发建设方案</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_Toc78441335 \h </w:instrText>
          </w:r>
          <w:r>
            <w:rPr>
              <w:rFonts w:hint="eastAsia" w:ascii="仿宋_GB2312"/>
              <w:sz w:val="32"/>
              <w:szCs w:val="32"/>
            </w:rPr>
            <w:fldChar w:fldCharType="separate"/>
          </w:r>
          <w:r>
            <w:rPr>
              <w:rFonts w:ascii="仿宋_GB2312"/>
              <w:sz w:val="32"/>
              <w:szCs w:val="32"/>
            </w:rPr>
            <w:t>8</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"_Toc78441336" </w:instrText>
          </w:r>
          <w:r>
            <w:fldChar w:fldCharType="separate"/>
          </w:r>
          <w:r>
            <w:rPr>
              <w:rStyle w:val="20"/>
              <w:rFonts w:hint="eastAsia" w:ascii="仿宋_GB2312" w:hAnsi="黑体" w:cs="宋体"/>
              <w:sz w:val="32"/>
              <w:szCs w:val="32"/>
            </w:rPr>
            <w:t>一、项目建设背景</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_Toc78441336 \h </w:instrText>
          </w:r>
          <w:r>
            <w:rPr>
              <w:rFonts w:hint="eastAsia" w:ascii="仿宋_GB2312"/>
              <w:sz w:val="32"/>
              <w:szCs w:val="32"/>
            </w:rPr>
            <w:fldChar w:fldCharType="separate"/>
          </w:r>
          <w:r>
            <w:rPr>
              <w:rFonts w:ascii="仿宋_GB2312"/>
              <w:sz w:val="32"/>
              <w:szCs w:val="32"/>
            </w:rPr>
            <w:t>8</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"_Toc78441337" </w:instrText>
          </w:r>
          <w:r>
            <w:fldChar w:fldCharType="separate"/>
          </w:r>
          <w:r>
            <w:rPr>
              <w:rStyle w:val="20"/>
              <w:rFonts w:hint="eastAsia" w:ascii="仿宋_GB2312" w:hAnsi="黑体" w:cs="宋体"/>
              <w:sz w:val="32"/>
              <w:szCs w:val="32"/>
            </w:rPr>
            <w:t>二、项目建设地点</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_Toc78441337 \h </w:instrText>
          </w:r>
          <w:r>
            <w:rPr>
              <w:rFonts w:hint="eastAsia" w:ascii="仿宋_GB2312"/>
              <w:sz w:val="32"/>
              <w:szCs w:val="32"/>
            </w:rPr>
            <w:fldChar w:fldCharType="separate"/>
          </w:r>
          <w:r>
            <w:rPr>
              <w:rFonts w:ascii="仿宋_GB2312"/>
              <w:sz w:val="32"/>
              <w:szCs w:val="32"/>
            </w:rPr>
            <w:t>9</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"_Toc78441338" </w:instrText>
          </w:r>
          <w:r>
            <w:fldChar w:fldCharType="separate"/>
          </w:r>
          <w:r>
            <w:rPr>
              <w:rStyle w:val="20"/>
              <w:rFonts w:hint="eastAsia" w:ascii="仿宋_GB2312" w:hAnsi="黑体" w:cs="宋体"/>
              <w:sz w:val="32"/>
              <w:szCs w:val="32"/>
            </w:rPr>
            <w:t>三、项目开发方案</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_Toc78441338 \h </w:instrText>
          </w:r>
          <w:r>
            <w:rPr>
              <w:rFonts w:hint="eastAsia" w:ascii="仿宋_GB2312"/>
              <w:sz w:val="32"/>
              <w:szCs w:val="32"/>
            </w:rPr>
            <w:fldChar w:fldCharType="separate"/>
          </w:r>
          <w:r>
            <w:rPr>
              <w:rFonts w:ascii="仿宋_GB2312"/>
              <w:sz w:val="32"/>
              <w:szCs w:val="32"/>
            </w:rPr>
            <w:t>10</w:t>
          </w:r>
          <w:r>
            <w:rPr>
              <w:rFonts w:hint="eastAsia" w:ascii="仿宋_GB2312"/>
              <w:sz w:val="32"/>
              <w:szCs w:val="32"/>
            </w:rPr>
            <w:fldChar w:fldCharType="end"/>
          </w:r>
          <w:r>
            <w:rPr>
              <w:rFonts w:hint="eastAsia" w:ascii="仿宋_GB2312"/>
              <w:sz w:val="32"/>
              <w:szCs w:val="32"/>
            </w:rPr>
            <w:fldChar w:fldCharType="end"/>
          </w:r>
        </w:p>
        <w:p>
          <w:pPr>
            <w:pStyle w:val="11"/>
            <w:spacing w:line="580" w:lineRule="exact"/>
            <w:jc w:val="distribute"/>
            <w:rPr>
              <w:rFonts w:ascii="仿宋_GB2312" w:hAnsiTheme="minorHAnsi" w:cstheme="minorBidi"/>
              <w:b w:val="0"/>
              <w:bCs w:val="0"/>
              <w:kern w:val="2"/>
              <w:sz w:val="22"/>
              <w:szCs w:val="24"/>
              <w:shd w:val="clear" w:color="auto" w:fill="auto"/>
            </w:rPr>
          </w:pPr>
          <w:r>
            <w:fldChar w:fldCharType="begin"/>
          </w:r>
          <w:r>
            <w:instrText xml:space="preserve"> HYPERLINK \l "_Toc78441339" </w:instrText>
          </w:r>
          <w:r>
            <w:fldChar w:fldCharType="separate"/>
          </w:r>
          <w:r>
            <w:rPr>
              <w:rStyle w:val="20"/>
              <w:rFonts w:hint="eastAsia" w:ascii="仿宋_GB2312" w:hAnsi="宋体" w:cs="宋体"/>
              <w:sz w:val="32"/>
              <w:szCs w:val="32"/>
            </w:rPr>
            <w:t>第四章 项目市场分析</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_Toc78441339 \h </w:instrText>
          </w:r>
          <w:r>
            <w:rPr>
              <w:rFonts w:hint="eastAsia" w:ascii="仿宋_GB2312"/>
              <w:sz w:val="32"/>
              <w:szCs w:val="32"/>
            </w:rPr>
            <w:fldChar w:fldCharType="separate"/>
          </w:r>
          <w:r>
            <w:rPr>
              <w:rFonts w:ascii="仿宋_GB2312"/>
              <w:sz w:val="32"/>
              <w:szCs w:val="32"/>
            </w:rPr>
            <w:t>11</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"_Toc78441340" </w:instrText>
          </w:r>
          <w:r>
            <w:fldChar w:fldCharType="separate"/>
          </w:r>
          <w:r>
            <w:rPr>
              <w:rStyle w:val="20"/>
              <w:rFonts w:hint="eastAsia" w:ascii="仿宋_GB2312" w:hAnsi="黑体" w:cs="宋体"/>
              <w:sz w:val="32"/>
              <w:szCs w:val="32"/>
            </w:rPr>
            <w:t>一、市场现状</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_Toc78441340 \h </w:instrText>
          </w:r>
          <w:r>
            <w:rPr>
              <w:rFonts w:hint="eastAsia" w:ascii="仿宋_GB2312"/>
              <w:sz w:val="32"/>
              <w:szCs w:val="32"/>
            </w:rPr>
            <w:fldChar w:fldCharType="separate"/>
          </w:r>
          <w:r>
            <w:rPr>
              <w:rFonts w:ascii="仿宋_GB2312"/>
              <w:sz w:val="32"/>
              <w:szCs w:val="32"/>
            </w:rPr>
            <w:t>11</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kern w:val="2"/>
              <w:sz w:val="22"/>
              <w:szCs w:val="24"/>
            </w:rPr>
          </w:pPr>
          <w:r>
            <w:fldChar w:fldCharType="begin"/>
          </w:r>
          <w:r>
            <w:instrText xml:space="preserve"> HYPERLINK \l "_Toc78441341" </w:instrText>
          </w:r>
          <w:r>
            <w:fldChar w:fldCharType="separate"/>
          </w:r>
          <w:r>
            <w:rPr>
              <w:rStyle w:val="20"/>
              <w:rFonts w:hint="eastAsia" w:ascii="仿宋_GB2312" w:hAnsi="楷体" w:cs="宋体"/>
              <w:sz w:val="32"/>
              <w:szCs w:val="32"/>
            </w:rPr>
            <w:t>（一）中国蓝莓产业现状</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_Toc78441341 \h </w:instrText>
          </w:r>
          <w:r>
            <w:rPr>
              <w:rFonts w:hint="eastAsia" w:ascii="仿宋_GB2312"/>
              <w:sz w:val="32"/>
              <w:szCs w:val="32"/>
            </w:rPr>
            <w:fldChar w:fldCharType="separate"/>
          </w:r>
          <w:r>
            <w:rPr>
              <w:rFonts w:ascii="仿宋_GB2312"/>
              <w:sz w:val="32"/>
              <w:szCs w:val="32"/>
            </w:rPr>
            <w:t>11</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kern w:val="2"/>
              <w:sz w:val="22"/>
              <w:szCs w:val="24"/>
            </w:rPr>
          </w:pPr>
          <w:r>
            <w:fldChar w:fldCharType="begin"/>
          </w:r>
          <w:r>
            <w:instrText xml:space="preserve"> HYPERLINK \l "_Toc78441342" </w:instrText>
          </w:r>
          <w:r>
            <w:fldChar w:fldCharType="separate"/>
          </w:r>
          <w:r>
            <w:rPr>
              <w:rStyle w:val="20"/>
              <w:rFonts w:hint="eastAsia" w:ascii="仿宋_GB2312" w:hAnsi="楷体" w:cs="宋体"/>
              <w:sz w:val="32"/>
              <w:szCs w:val="32"/>
            </w:rPr>
            <w:t>（二）贵州蓝莓产业概况</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_Toc78441342 \h </w:instrText>
          </w:r>
          <w:r>
            <w:rPr>
              <w:rFonts w:hint="eastAsia" w:ascii="仿宋_GB2312"/>
              <w:sz w:val="32"/>
              <w:szCs w:val="32"/>
            </w:rPr>
            <w:fldChar w:fldCharType="separate"/>
          </w:r>
          <w:r>
            <w:rPr>
              <w:rFonts w:ascii="仿宋_GB2312"/>
              <w:sz w:val="32"/>
              <w:szCs w:val="32"/>
            </w:rPr>
            <w:t>18</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"_Toc78441343" </w:instrText>
          </w:r>
          <w:r>
            <w:fldChar w:fldCharType="separate"/>
          </w:r>
          <w:r>
            <w:rPr>
              <w:rStyle w:val="20"/>
              <w:rFonts w:hint="eastAsia" w:ascii="仿宋_GB2312" w:hAnsi="黑体" w:cs="宋体"/>
              <w:sz w:val="32"/>
              <w:szCs w:val="32"/>
            </w:rPr>
            <w:t>二、市场前景</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_Toc78441343 \h </w:instrText>
          </w:r>
          <w:r>
            <w:rPr>
              <w:rFonts w:hint="eastAsia" w:ascii="仿宋_GB2312"/>
              <w:sz w:val="32"/>
              <w:szCs w:val="32"/>
            </w:rPr>
            <w:fldChar w:fldCharType="separate"/>
          </w:r>
          <w:r>
            <w:rPr>
              <w:rFonts w:ascii="仿宋_GB2312"/>
              <w:sz w:val="32"/>
              <w:szCs w:val="32"/>
            </w:rPr>
            <w:t>22</w:t>
          </w:r>
          <w:r>
            <w:rPr>
              <w:rFonts w:hint="eastAsia" w:ascii="仿宋_GB2312"/>
              <w:sz w:val="32"/>
              <w:szCs w:val="32"/>
            </w:rPr>
            <w:fldChar w:fldCharType="end"/>
          </w:r>
          <w:r>
            <w:rPr>
              <w:rFonts w:hint="eastAsia" w:ascii="仿宋_GB2312"/>
              <w:sz w:val="32"/>
              <w:szCs w:val="32"/>
            </w:rPr>
            <w:fldChar w:fldCharType="end"/>
          </w:r>
        </w:p>
        <w:p>
          <w:pPr>
            <w:pStyle w:val="11"/>
            <w:spacing w:line="580" w:lineRule="exact"/>
            <w:jc w:val="distribute"/>
            <w:rPr>
              <w:rFonts w:ascii="仿宋_GB2312" w:hAnsiTheme="minorHAnsi" w:cstheme="minorBidi"/>
              <w:b w:val="0"/>
              <w:bCs w:val="0"/>
              <w:kern w:val="2"/>
              <w:sz w:val="22"/>
              <w:szCs w:val="24"/>
              <w:shd w:val="clear" w:color="auto" w:fill="auto"/>
            </w:rPr>
          </w:pPr>
          <w:r>
            <w:fldChar w:fldCharType="begin"/>
          </w:r>
          <w:r>
            <w:instrText xml:space="preserve"> HYPERLINK \l "_Toc78441344" </w:instrText>
          </w:r>
          <w:r>
            <w:fldChar w:fldCharType="separate"/>
          </w:r>
          <w:r>
            <w:rPr>
              <w:rStyle w:val="20"/>
              <w:rFonts w:hint="eastAsia" w:ascii="仿宋_GB2312" w:hAnsi="宋体" w:cs="宋体"/>
              <w:sz w:val="32"/>
              <w:szCs w:val="32"/>
            </w:rPr>
            <w:t>第五章 项目盈利能力</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_Toc78441344 \h </w:instrText>
          </w:r>
          <w:r>
            <w:rPr>
              <w:rFonts w:hint="eastAsia" w:ascii="仿宋_GB2312"/>
              <w:sz w:val="32"/>
              <w:szCs w:val="32"/>
            </w:rPr>
            <w:fldChar w:fldCharType="separate"/>
          </w:r>
          <w:r>
            <w:rPr>
              <w:rFonts w:ascii="仿宋_GB2312"/>
              <w:sz w:val="32"/>
              <w:szCs w:val="32"/>
            </w:rPr>
            <w:t>23</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"_Toc78441345" </w:instrText>
          </w:r>
          <w:r>
            <w:fldChar w:fldCharType="separate"/>
          </w:r>
          <w:r>
            <w:rPr>
              <w:rStyle w:val="20"/>
              <w:rFonts w:hint="eastAsia" w:ascii="仿宋_GB2312" w:hAnsi="黑体" w:cs="宋体"/>
              <w:sz w:val="32"/>
              <w:szCs w:val="32"/>
            </w:rPr>
            <w:t>一、项目投资估算</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_Toc78441345 \h </w:instrText>
          </w:r>
          <w:r>
            <w:rPr>
              <w:rFonts w:hint="eastAsia" w:ascii="仿宋_GB2312"/>
              <w:sz w:val="32"/>
              <w:szCs w:val="32"/>
            </w:rPr>
            <w:fldChar w:fldCharType="separate"/>
          </w:r>
          <w:r>
            <w:rPr>
              <w:rFonts w:ascii="仿宋_GB2312"/>
              <w:sz w:val="32"/>
              <w:szCs w:val="32"/>
            </w:rPr>
            <w:t>23</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"_Toc78441346" </w:instrText>
          </w:r>
          <w:r>
            <w:fldChar w:fldCharType="separate"/>
          </w:r>
          <w:r>
            <w:rPr>
              <w:rStyle w:val="20"/>
              <w:rFonts w:hint="eastAsia" w:ascii="仿宋_GB2312" w:hAnsi="黑体" w:cs="宋体"/>
              <w:sz w:val="32"/>
              <w:szCs w:val="32"/>
            </w:rPr>
            <w:t>二、项目效益分析</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_Toc78441346 \h </w:instrText>
          </w:r>
          <w:r>
            <w:rPr>
              <w:rFonts w:hint="eastAsia" w:ascii="仿宋_GB2312"/>
              <w:sz w:val="32"/>
              <w:szCs w:val="32"/>
            </w:rPr>
            <w:fldChar w:fldCharType="separate"/>
          </w:r>
          <w:r>
            <w:rPr>
              <w:rFonts w:ascii="仿宋_GB2312"/>
              <w:sz w:val="32"/>
              <w:szCs w:val="32"/>
            </w:rPr>
            <w:t>24</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"_Toc78441347" </w:instrText>
          </w:r>
          <w:r>
            <w:fldChar w:fldCharType="separate"/>
          </w:r>
          <w:r>
            <w:rPr>
              <w:rStyle w:val="20"/>
              <w:rFonts w:hint="eastAsia" w:ascii="仿宋_GB2312" w:hAnsi="黑体" w:cs="宋体"/>
              <w:sz w:val="32"/>
              <w:szCs w:val="32"/>
            </w:rPr>
            <w:t>三、项目投资回收期</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_Toc78441347 \h </w:instrText>
          </w:r>
          <w:r>
            <w:rPr>
              <w:rFonts w:hint="eastAsia" w:ascii="仿宋_GB2312"/>
              <w:sz w:val="32"/>
              <w:szCs w:val="32"/>
            </w:rPr>
            <w:fldChar w:fldCharType="separate"/>
          </w:r>
          <w:r>
            <w:rPr>
              <w:rFonts w:ascii="仿宋_GB2312"/>
              <w:sz w:val="32"/>
              <w:szCs w:val="32"/>
            </w:rPr>
            <w:t>25</w:t>
          </w:r>
          <w:r>
            <w:rPr>
              <w:rFonts w:hint="eastAsia" w:ascii="仿宋_GB2312"/>
              <w:sz w:val="32"/>
              <w:szCs w:val="32"/>
            </w:rPr>
            <w:fldChar w:fldCharType="end"/>
          </w:r>
          <w:r>
            <w:rPr>
              <w:rFonts w:hint="eastAsia" w:ascii="仿宋_GB2312"/>
              <w:sz w:val="32"/>
              <w:szCs w:val="32"/>
            </w:rPr>
            <w:fldChar w:fldCharType="end"/>
          </w:r>
        </w:p>
        <w:p>
          <w:pPr>
            <w:pStyle w:val="11"/>
            <w:spacing w:line="580" w:lineRule="exact"/>
            <w:jc w:val="distribute"/>
            <w:rPr>
              <w:rFonts w:ascii="仿宋_GB2312" w:hAnsiTheme="minorHAnsi" w:cstheme="minorBidi"/>
              <w:b w:val="0"/>
              <w:bCs w:val="0"/>
              <w:kern w:val="2"/>
              <w:sz w:val="22"/>
              <w:szCs w:val="24"/>
              <w:shd w:val="clear" w:color="auto" w:fill="auto"/>
            </w:rPr>
          </w:pPr>
          <w:r>
            <w:fldChar w:fldCharType="begin"/>
          </w:r>
          <w:r>
            <w:instrText xml:space="preserve"> HYPERLINK \l "_Toc78441348" </w:instrText>
          </w:r>
          <w:r>
            <w:fldChar w:fldCharType="separate"/>
          </w:r>
          <w:r>
            <w:rPr>
              <w:rStyle w:val="20"/>
              <w:rFonts w:hint="eastAsia" w:ascii="仿宋_GB2312" w:hAnsi="宋体" w:cs="宋体"/>
              <w:sz w:val="32"/>
              <w:szCs w:val="32"/>
            </w:rPr>
            <w:t>第六章 投资服务保障</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_Toc78441348 \h </w:instrText>
          </w:r>
          <w:r>
            <w:rPr>
              <w:rFonts w:hint="eastAsia" w:ascii="仿宋_GB2312"/>
              <w:sz w:val="32"/>
              <w:szCs w:val="32"/>
            </w:rPr>
            <w:fldChar w:fldCharType="separate"/>
          </w:r>
          <w:r>
            <w:rPr>
              <w:rFonts w:ascii="仿宋_GB2312"/>
              <w:sz w:val="32"/>
              <w:szCs w:val="32"/>
            </w:rPr>
            <w:t>26</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"_Toc78441349" </w:instrText>
          </w:r>
          <w:r>
            <w:fldChar w:fldCharType="separate"/>
          </w:r>
          <w:r>
            <w:rPr>
              <w:rStyle w:val="20"/>
              <w:rFonts w:hint="eastAsia" w:ascii="仿宋_GB2312" w:hAnsi="黑体" w:cs="宋体"/>
              <w:sz w:val="32"/>
              <w:szCs w:val="32"/>
            </w:rPr>
            <w:t>一、招商合作模式</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_Toc78441349 \h </w:instrText>
          </w:r>
          <w:r>
            <w:rPr>
              <w:rFonts w:hint="eastAsia" w:ascii="仿宋_GB2312"/>
              <w:sz w:val="32"/>
              <w:szCs w:val="32"/>
            </w:rPr>
            <w:fldChar w:fldCharType="separate"/>
          </w:r>
          <w:r>
            <w:rPr>
              <w:rFonts w:ascii="仿宋_GB2312"/>
              <w:sz w:val="32"/>
              <w:szCs w:val="32"/>
            </w:rPr>
            <w:t>26</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仿宋_GB2312" w:hAnsiTheme="minorHAnsi" w:cstheme="minorBidi"/>
              <w:bCs w:val="0"/>
              <w:kern w:val="2"/>
              <w:sz w:val="22"/>
              <w:szCs w:val="24"/>
            </w:rPr>
          </w:pPr>
          <w:r>
            <w:fldChar w:fldCharType="begin"/>
          </w:r>
          <w:r>
            <w:instrText xml:space="preserve"> HYPERLINK \l "_Toc78441350" </w:instrText>
          </w:r>
          <w:r>
            <w:fldChar w:fldCharType="separate"/>
          </w:r>
          <w:r>
            <w:rPr>
              <w:rStyle w:val="20"/>
              <w:rFonts w:hint="eastAsia" w:ascii="仿宋_GB2312" w:hAnsi="黑体" w:cs="宋体"/>
              <w:sz w:val="32"/>
              <w:szCs w:val="32"/>
            </w:rPr>
            <w:t>二、招商优惠政策</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_Toc78441350 \h </w:instrText>
          </w:r>
          <w:r>
            <w:rPr>
              <w:rFonts w:hint="eastAsia" w:ascii="仿宋_GB2312"/>
              <w:sz w:val="32"/>
              <w:szCs w:val="32"/>
            </w:rPr>
            <w:fldChar w:fldCharType="separate"/>
          </w:r>
          <w:r>
            <w:rPr>
              <w:rFonts w:ascii="仿宋_GB2312"/>
              <w:sz w:val="32"/>
              <w:szCs w:val="32"/>
            </w:rPr>
            <w:t>26</w:t>
          </w:r>
          <w:r>
            <w:rPr>
              <w:rFonts w:hint="eastAsia" w:ascii="仿宋_GB2312"/>
              <w:sz w:val="32"/>
              <w:szCs w:val="32"/>
            </w:rPr>
            <w:fldChar w:fldCharType="end"/>
          </w:r>
          <w:r>
            <w:rPr>
              <w:rFonts w:hint="eastAsia" w:ascii="仿宋_GB2312"/>
              <w:sz w:val="32"/>
              <w:szCs w:val="32"/>
            </w:rPr>
            <w:fldChar w:fldCharType="end"/>
          </w:r>
        </w:p>
        <w:p>
          <w:pPr>
            <w:pStyle w:val="12"/>
            <w:spacing w:line="580" w:lineRule="exact"/>
            <w:jc w:val="distribute"/>
            <w:rPr>
              <w:rFonts w:asciiTheme="minorHAnsi" w:hAnsiTheme="minorHAnsi" w:eastAsiaTheme="minorEastAsia" w:cstheme="minorBidi"/>
              <w:bCs w:val="0"/>
              <w:kern w:val="2"/>
              <w:sz w:val="21"/>
              <w:szCs w:val="22"/>
            </w:rPr>
          </w:pPr>
          <w:r>
            <w:fldChar w:fldCharType="begin"/>
          </w:r>
          <w:r>
            <w:instrText xml:space="preserve"> HYPERLINK \l "_Toc78441351" </w:instrText>
          </w:r>
          <w:r>
            <w:fldChar w:fldCharType="separate"/>
          </w:r>
          <w:r>
            <w:rPr>
              <w:rStyle w:val="20"/>
              <w:rFonts w:hint="eastAsia" w:ascii="仿宋_GB2312" w:hAnsi="黑体" w:cs="宋体"/>
              <w:sz w:val="32"/>
              <w:szCs w:val="32"/>
            </w:rPr>
            <w:t>三、项目投资流程</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_Toc78441351 \h </w:instrText>
          </w:r>
          <w:r>
            <w:rPr>
              <w:rFonts w:hint="eastAsia" w:ascii="仿宋_GB2312"/>
              <w:sz w:val="32"/>
              <w:szCs w:val="32"/>
            </w:rPr>
            <w:fldChar w:fldCharType="separate"/>
          </w:r>
          <w:r>
            <w:rPr>
              <w:rFonts w:ascii="仿宋_GB2312"/>
              <w:sz w:val="32"/>
              <w:szCs w:val="32"/>
            </w:rPr>
            <w:t>29</w:t>
          </w:r>
          <w:r>
            <w:rPr>
              <w:rFonts w:hint="eastAsia" w:ascii="仿宋_GB2312"/>
              <w:sz w:val="32"/>
              <w:szCs w:val="32"/>
            </w:rPr>
            <w:fldChar w:fldCharType="end"/>
          </w:r>
          <w:r>
            <w:rPr>
              <w:rFonts w:hint="eastAsia" w:ascii="仿宋_GB2312"/>
              <w:sz w:val="32"/>
              <w:szCs w:val="32"/>
            </w:rPr>
            <w:fldChar w:fldCharType="end"/>
          </w:r>
        </w:p>
        <w:p>
          <w:pPr>
            <w:spacing w:line="580" w:lineRule="exact"/>
            <w:jc w:val="distribute"/>
            <w:rPr>
              <w:rFonts w:ascii="仿宋_GB2312" w:hAnsi="仿宋"/>
              <w:szCs w:val="28"/>
            </w:rPr>
          </w:pPr>
          <w:r>
            <w:rPr>
              <w:rFonts w:hint="eastAsia" w:ascii="仿宋_GB2312" w:hAnsi="仿宋" w:cs="Times New Roman"/>
              <w:b/>
              <w:bCs/>
              <w:szCs w:val="28"/>
              <w:lang w:val="zh-CN"/>
            </w:rPr>
            <w:fldChar w:fldCharType="end"/>
          </w:r>
        </w:p>
      </w:sdtContent>
    </w:sdt>
    <w:p>
      <w:pPr>
        <w:widowControl/>
        <w:jc w:val="left"/>
        <w:rPr>
          <w:rFonts w:ascii="方正小标宋简体" w:hAnsi="宋体" w:eastAsia="方正小标宋简体" w:cs="宋体"/>
          <w:b/>
          <w:bCs/>
          <w:color w:val="000000" w:themeColor="text1"/>
          <w:kern w:val="44"/>
          <w:sz w:val="44"/>
          <w:szCs w:val="44"/>
          <w14:textFill>
            <w14:solidFill>
              <w14:schemeClr w14:val="tx1"/>
            </w14:solidFill>
          </w14:textFill>
        </w:rPr>
      </w:pPr>
      <w:r>
        <w:rPr>
          <w:rFonts w:ascii="方正小标宋简体" w:hAnsi="宋体" w:eastAsia="方正小标宋简体" w:cs="宋体"/>
          <w:color w:val="000000" w:themeColor="text1"/>
          <w:sz w:val="44"/>
          <w14:textFill>
            <w14:solidFill>
              <w14:schemeClr w14:val="tx1"/>
            </w14:solidFill>
          </w14:textFill>
        </w:rPr>
        <w:br w:type="page"/>
      </w: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sectPr>
          <w:footerReference r:id="rId6" w:type="first"/>
          <w:footerReference r:id="rId5" w:type="default"/>
          <w:pgSz w:w="11906" w:h="16838"/>
          <w:pgMar w:top="2098" w:right="1474" w:bottom="1985" w:left="1588" w:header="851" w:footer="1418" w:gutter="0"/>
          <w:pgNumType w:fmt="upperRoman" w:start="1" w:chapStyle="1"/>
          <w:cols w:space="425" w:num="1"/>
          <w:docGrid w:type="lines" w:linePitch="381" w:charSpace="0"/>
        </w:sectPr>
      </w:pP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0" w:name="_Toc76569931"/>
      <w:bookmarkStart w:id="1" w:name="_Toc76570152"/>
      <w:bookmarkStart w:id="2" w:name="_Toc78441326"/>
      <w:r>
        <w:rPr>
          <w:rFonts w:hint="eastAsia" w:ascii="方正小标宋简体" w:hAnsi="宋体" w:eastAsia="方正小标宋简体" w:cs="宋体"/>
          <w:color w:val="000000" w:themeColor="text1"/>
          <w:sz w:val="44"/>
          <w14:textFill>
            <w14:solidFill>
              <w14:schemeClr w14:val="tx1"/>
            </w14:solidFill>
          </w14:textFill>
        </w:rPr>
        <w:t>第一章 区域投资环境</w:t>
      </w:r>
      <w:bookmarkEnd w:id="0"/>
      <w:bookmarkEnd w:id="1"/>
      <w:bookmarkEnd w:id="2"/>
    </w:p>
    <w:p>
      <w:pPr>
        <w:spacing w:line="580" w:lineRule="exact"/>
        <w:rPr>
          <w:rFonts w:ascii="方正小标宋简体" w:eastAsia="方正小标宋简体"/>
          <w:b/>
          <w:bCs/>
          <w:sz w:val="44"/>
          <w:szCs w:val="44"/>
        </w:rPr>
      </w:pP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3" w:name="_Toc76569932"/>
      <w:bookmarkStart w:id="4" w:name="_Toc76570153"/>
      <w:bookmarkStart w:id="5" w:name="_Toc78441327"/>
      <w:r>
        <w:rPr>
          <w:rFonts w:hint="eastAsia" w:ascii="黑体" w:hAnsi="黑体" w:eastAsia="黑体" w:cs="宋体"/>
          <w:color w:val="000000" w:themeColor="text1"/>
          <w:sz w:val="32"/>
          <w14:textFill>
            <w14:solidFill>
              <w14:schemeClr w14:val="tx1"/>
            </w14:solidFill>
          </w14:textFill>
        </w:rPr>
        <w:t>一、息烽发展概况</w:t>
      </w:r>
      <w:bookmarkEnd w:id="3"/>
      <w:bookmarkEnd w:id="4"/>
      <w:bookmarkEnd w:id="5"/>
    </w:p>
    <w:p>
      <w:pPr>
        <w:spacing w:line="580" w:lineRule="exact"/>
        <w:ind w:firstLine="640" w:firstLineChars="200"/>
        <w:rPr>
          <w:rFonts w:ascii="仿宋_GB2312" w:hAnsi="宋体" w:cs="宋体"/>
          <w:sz w:val="32"/>
          <w:szCs w:val="32"/>
        </w:rPr>
      </w:pPr>
      <w:r>
        <w:rPr>
          <w:rFonts w:hint="eastAsia" w:ascii="仿宋_GB2312" w:hAnsi="宋体" w:cs="宋体"/>
          <w:sz w:val="32"/>
          <w:szCs w:val="32"/>
        </w:rPr>
        <w:t>息烽地处黔中腹地，位于贵阳生态保护发展区、贵阳中高端制造业核心配套区和北部高新技术产业实体经济带上，东临开阳，南接修文，西北与遵义市播州区、毕节市金沙县隔江相望。全县总面积</w:t>
      </w:r>
      <w:r>
        <w:rPr>
          <w:rFonts w:ascii="仿宋_GB2312" w:hAnsi="宋体" w:cs="宋体"/>
          <w:sz w:val="32"/>
          <w:szCs w:val="32"/>
        </w:rPr>
        <w:t>1036.5平方公里，辖9镇1乡1社区，177个村（居），总人口27.8万，有苗、布依、彝族等19个少数民族。</w:t>
      </w:r>
    </w:p>
    <w:p>
      <w:pPr>
        <w:spacing w:line="580" w:lineRule="exact"/>
        <w:ind w:firstLine="640" w:firstLineChars="200"/>
        <w:rPr>
          <w:rFonts w:ascii="仿宋_GB2312" w:hAnsi="宋体" w:cs="宋体"/>
          <w:sz w:val="32"/>
          <w:szCs w:val="32"/>
        </w:rPr>
      </w:pPr>
      <w:r>
        <w:rPr>
          <w:rFonts w:hint="eastAsia" w:ascii="仿宋_GB2312" w:hAnsi="宋体" w:cs="宋体"/>
          <w:sz w:val="32"/>
          <w:szCs w:val="32"/>
        </w:rPr>
        <w:t>息烽境内山峦起伏、地势险要，素有“川黔锁钥、黔中咽喉”之称，自古为兵家必争之地。属北亚热带和南温带季风气候区，气候温和，雨量充沛，冬无严寒，夏无酷暑，年平均气温</w:t>
      </w:r>
      <w:r>
        <w:rPr>
          <w:rFonts w:ascii="仿宋_GB2312" w:hAnsi="宋体" w:cs="宋体"/>
          <w:sz w:val="32"/>
          <w:szCs w:val="32"/>
        </w:rPr>
        <w:t>14-16℃，降雨量950-1200毫米，大部分地区全年无霜期在270天以上。全县森林覆盖率达47%，境内原生天然林多，大部分地区林木丰茂，水土保持良好，有“天然氧吧”之美誉，荣获“中国绿色名县”称号。同时，息烽矿产资源丰富，有煤、磷、铝、硫铁、褐铁、硅、水晶、重晶石、高岭土等，其中尤以煤、磷储藏最丰、品位最高。</w:t>
      </w:r>
    </w:p>
    <w:p>
      <w:pPr>
        <w:spacing w:line="580" w:lineRule="exact"/>
        <w:jc w:val="center"/>
        <w:rPr>
          <w:rFonts w:ascii="仿宋_GB2312" w:hAnsi="宋体" w:cs="宋体"/>
          <w:b/>
          <w:bCs/>
          <w:szCs w:val="28"/>
        </w:rPr>
      </w:pPr>
    </w:p>
    <w:p>
      <w:pPr>
        <w:spacing w:line="580" w:lineRule="exact"/>
        <w:jc w:val="center"/>
        <w:rPr>
          <w:rFonts w:ascii="仿宋_GB2312" w:hAnsi="宋体" w:cs="宋体"/>
          <w:b/>
          <w:bCs/>
          <w:szCs w:val="28"/>
        </w:rPr>
      </w:pPr>
    </w:p>
    <w:p>
      <w:pPr>
        <w:spacing w:line="580" w:lineRule="exact"/>
        <w:jc w:val="center"/>
        <w:rPr>
          <w:rFonts w:ascii="仿宋_GB2312" w:hAnsi="宋体" w:cs="宋体"/>
          <w:b/>
          <w:bCs/>
          <w:szCs w:val="28"/>
        </w:rPr>
      </w:pPr>
    </w:p>
    <w:p>
      <w:pPr>
        <w:spacing w:line="580" w:lineRule="exact"/>
        <w:jc w:val="center"/>
        <w:rPr>
          <w:rFonts w:ascii="仿宋_GB2312" w:hAnsi="宋体" w:cs="宋体"/>
          <w:b/>
          <w:bCs/>
          <w:szCs w:val="28"/>
        </w:rPr>
      </w:pPr>
    </w:p>
    <w:p>
      <w:pPr>
        <w:spacing w:line="580" w:lineRule="exact"/>
        <w:jc w:val="center"/>
        <w:rPr>
          <w:rFonts w:ascii="仿宋_GB2312" w:hAnsi="宋体" w:cs="宋体"/>
          <w:b/>
          <w:bCs/>
          <w:szCs w:val="28"/>
        </w:rPr>
      </w:pPr>
      <w:r>
        <w:rPr>
          <w:rFonts w:hint="eastAsia" w:ascii="仿宋_GB2312" w:hAnsi="宋体" w:cs="宋体"/>
          <w:b/>
          <w:bCs/>
          <w:szCs w:val="28"/>
        </w:rPr>
        <w:t>图表 1</w:t>
      </w:r>
      <w:r>
        <w:rPr>
          <w:rFonts w:ascii="仿宋_GB2312" w:hAnsi="宋体" w:cs="宋体"/>
          <w:b/>
          <w:bCs/>
          <w:szCs w:val="28"/>
        </w:rPr>
        <w:t xml:space="preserve">  </w:t>
      </w:r>
      <w:r>
        <w:rPr>
          <w:rFonts w:hint="eastAsia" w:ascii="仿宋_GB2312" w:hAnsi="宋体" w:cs="宋体"/>
          <w:b/>
          <w:bCs/>
          <w:szCs w:val="28"/>
        </w:rPr>
        <w:t>息烽县</w:t>
      </w:r>
    </w:p>
    <w:p>
      <w:pPr>
        <w:jc w:val="center"/>
        <w:rPr>
          <w:rFonts w:ascii="仿宋_GB2312" w:hAnsi="宋体" w:cs="宋体"/>
          <w:sz w:val="32"/>
          <w:szCs w:val="32"/>
        </w:rPr>
      </w:pPr>
      <w:r>
        <w:rPr>
          <w:rFonts w:ascii="仿宋_GB2312" w:hAnsi="宋体" w:cs="宋体"/>
          <w:sz w:val="32"/>
          <w:szCs w:val="32"/>
        </w:rPr>
        <w:drawing>
          <wp:inline distT="0" distB="0" distL="0" distR="0">
            <wp:extent cx="5238750" cy="34086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980" cy="3431780"/>
                    </a:xfrm>
                    <a:prstGeom prst="rect">
                      <a:avLst/>
                    </a:prstGeom>
                    <a:noFill/>
                  </pic:spPr>
                </pic:pic>
              </a:graphicData>
            </a:graphic>
          </wp:inline>
        </w:drawing>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6" w:name="_Toc76570154"/>
      <w:bookmarkStart w:id="7" w:name="_Toc76569933"/>
      <w:bookmarkStart w:id="8" w:name="_Toc78441328"/>
      <w:r>
        <w:rPr>
          <w:rFonts w:hint="eastAsia" w:ascii="黑体" w:hAnsi="黑体" w:eastAsia="黑体" w:cs="宋体"/>
          <w:color w:val="000000" w:themeColor="text1"/>
          <w:sz w:val="32"/>
          <w14:textFill>
            <w14:solidFill>
              <w14:schemeClr w14:val="tx1"/>
            </w14:solidFill>
          </w14:textFill>
        </w:rPr>
        <w:t>二、经济社会发展</w:t>
      </w:r>
      <w:bookmarkEnd w:id="6"/>
      <w:bookmarkEnd w:id="7"/>
      <w:bookmarkEnd w:id="8"/>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息烽县市场活力逐渐增强，县域经济势头稳中向好。</w:t>
      </w:r>
      <w:r>
        <w:rPr>
          <w:rFonts w:ascii="仿宋_GB2312" w:hAnsi="宋体" w:cs="宋体"/>
          <w:sz w:val="32"/>
          <w:szCs w:val="32"/>
        </w:rPr>
        <w:t>2020年全县地区生产总值完成152.8亿元，同比增长9.8%，较2019年提高7.2个百分点，分别高全国、全省、全市6.5个百分点、5.3个百分点、4.8个百分点</w:t>
      </w:r>
      <w:r>
        <w:rPr>
          <w:rFonts w:hint="eastAsia" w:ascii="仿宋_GB2312" w:hAnsi="宋体" w:cs="宋体"/>
          <w:sz w:val="32"/>
          <w:szCs w:val="32"/>
        </w:rPr>
        <w:t>。</w:t>
      </w:r>
    </w:p>
    <w:p>
      <w:pPr>
        <w:spacing w:line="580" w:lineRule="exact"/>
        <w:ind w:firstLine="562" w:firstLineChars="200"/>
        <w:jc w:val="center"/>
        <w:rPr>
          <w:rFonts w:ascii="仿宋_GB2312" w:hAnsi="宋体" w:cs="宋体"/>
          <w:b/>
          <w:bCs/>
          <w:szCs w:val="28"/>
        </w:rPr>
      </w:pPr>
    </w:p>
    <w:p>
      <w:pPr>
        <w:spacing w:line="580" w:lineRule="exact"/>
        <w:ind w:firstLine="562" w:firstLineChars="200"/>
        <w:jc w:val="center"/>
        <w:rPr>
          <w:rFonts w:ascii="仿宋_GB2312" w:hAnsi="宋体" w:cs="宋体"/>
          <w:b/>
          <w:bCs/>
          <w:szCs w:val="28"/>
        </w:rPr>
      </w:pPr>
    </w:p>
    <w:p>
      <w:pPr>
        <w:spacing w:line="580" w:lineRule="exact"/>
        <w:ind w:firstLine="562" w:firstLineChars="200"/>
        <w:jc w:val="center"/>
        <w:rPr>
          <w:rFonts w:ascii="仿宋_GB2312" w:hAnsi="宋体" w:cs="宋体"/>
          <w:b/>
          <w:bCs/>
          <w:szCs w:val="28"/>
        </w:rPr>
      </w:pPr>
    </w:p>
    <w:p>
      <w:pPr>
        <w:spacing w:line="580" w:lineRule="exact"/>
        <w:ind w:firstLine="562" w:firstLineChars="200"/>
        <w:jc w:val="center"/>
        <w:rPr>
          <w:rFonts w:ascii="仿宋_GB2312" w:hAnsi="宋体" w:cs="宋体"/>
          <w:b/>
          <w:bCs/>
          <w:szCs w:val="28"/>
        </w:rPr>
      </w:pPr>
    </w:p>
    <w:p>
      <w:pPr>
        <w:spacing w:line="580" w:lineRule="exact"/>
        <w:ind w:firstLine="562" w:firstLineChars="200"/>
        <w:jc w:val="center"/>
        <w:rPr>
          <w:rFonts w:ascii="仿宋_GB2312" w:hAnsi="宋体" w:cs="宋体"/>
          <w:b/>
          <w:bCs/>
          <w:szCs w:val="28"/>
        </w:rPr>
      </w:pPr>
    </w:p>
    <w:p>
      <w:pPr>
        <w:spacing w:line="580" w:lineRule="exact"/>
        <w:ind w:firstLine="562" w:firstLineChars="200"/>
        <w:jc w:val="center"/>
        <w:rPr>
          <w:rFonts w:ascii="仿宋_GB2312" w:hAnsi="宋体" w:cs="宋体"/>
          <w:b/>
          <w:bCs/>
          <w:szCs w:val="28"/>
        </w:rPr>
      </w:pPr>
    </w:p>
    <w:p>
      <w:pPr>
        <w:spacing w:line="580" w:lineRule="exact"/>
        <w:ind w:firstLine="562" w:firstLineChars="200"/>
        <w:jc w:val="center"/>
        <w:rPr>
          <w:rFonts w:ascii="仿宋_GB2312" w:hAnsi="宋体" w:cs="宋体"/>
          <w:b/>
          <w:bCs/>
          <w:szCs w:val="28"/>
        </w:rPr>
      </w:pPr>
      <w:r>
        <w:rPr>
          <w:rFonts w:hint="eastAsia" w:ascii="仿宋_GB2312" w:hAnsi="宋体" w:cs="宋体"/>
          <w:b/>
          <w:bCs/>
          <w:szCs w:val="28"/>
        </w:rPr>
        <w:t xml:space="preserve">图表 </w:t>
      </w:r>
      <w:r>
        <w:rPr>
          <w:rFonts w:ascii="仿宋_GB2312" w:hAnsi="宋体" w:cs="宋体"/>
          <w:b/>
          <w:bCs/>
          <w:szCs w:val="28"/>
        </w:rPr>
        <w:t>2</w:t>
      </w:r>
      <w:r>
        <w:rPr>
          <w:rFonts w:hint="eastAsia" w:ascii="仿宋_GB2312" w:hAnsi="宋体" w:cs="宋体"/>
          <w:b/>
          <w:bCs/>
          <w:szCs w:val="28"/>
        </w:rPr>
        <w:t xml:space="preserve">  </w:t>
      </w:r>
      <w:r>
        <w:rPr>
          <w:rFonts w:ascii="仿宋_GB2312" w:hAnsi="宋体" w:cs="宋体"/>
          <w:b/>
          <w:bCs/>
          <w:szCs w:val="28"/>
        </w:rPr>
        <w:t>2018-2020</w:t>
      </w:r>
      <w:r>
        <w:rPr>
          <w:rFonts w:hint="eastAsia" w:ascii="仿宋_GB2312" w:hAnsi="宋体" w:cs="宋体"/>
          <w:b/>
          <w:bCs/>
          <w:szCs w:val="28"/>
        </w:rPr>
        <w:t>年全县生产总值及增速</w:t>
      </w:r>
    </w:p>
    <w:p>
      <w:pPr>
        <w:spacing w:line="276" w:lineRule="auto"/>
        <w:ind w:firstLine="560" w:firstLineChars="200"/>
        <w:rPr>
          <w:rFonts w:ascii="仿宋_GB2312" w:hAnsi="宋体" w:cs="宋体"/>
          <w:b/>
          <w:bCs/>
          <w:szCs w:val="28"/>
        </w:rPr>
      </w:pPr>
      <w:r>
        <w:drawing>
          <wp:inline distT="0" distB="0" distL="0" distR="0">
            <wp:extent cx="4922520" cy="2644140"/>
            <wp:effectExtent l="0" t="0" r="11430" b="381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580" w:lineRule="exact"/>
        <w:ind w:firstLine="560" w:firstLineChars="200"/>
        <w:rPr>
          <w:rFonts w:ascii="仿宋_GB2312" w:hAnsi="宋体" w:cs="宋体"/>
          <w:szCs w:val="28"/>
        </w:rPr>
      </w:pPr>
      <w:r>
        <w:rPr>
          <w:rFonts w:hint="eastAsia" w:ascii="仿宋_GB2312" w:hAnsi="宋体" w:cs="宋体"/>
          <w:szCs w:val="28"/>
        </w:rPr>
        <w:t>数据来源：息烽县人民政府</w:t>
      </w:r>
    </w:p>
    <w:p>
      <w:pPr>
        <w:spacing w:line="580" w:lineRule="exact"/>
        <w:ind w:firstLine="643" w:firstLineChars="200"/>
        <w:rPr>
          <w:rFonts w:ascii="仿宋_GB2312" w:hAnsi="宋体" w:cs="宋体"/>
          <w:sz w:val="32"/>
          <w:szCs w:val="32"/>
        </w:rPr>
      </w:pPr>
      <w:r>
        <w:rPr>
          <w:rFonts w:hint="eastAsia" w:ascii="仿宋_GB2312" w:hAnsi="宋体" w:cs="宋体"/>
          <w:b/>
          <w:sz w:val="32"/>
          <w:szCs w:val="32"/>
        </w:rPr>
        <w:t>产业结构不断优化。</w:t>
      </w:r>
      <w:r>
        <w:rPr>
          <w:rFonts w:ascii="仿宋_GB2312" w:hAnsi="宋体" w:cs="宋体"/>
          <w:sz w:val="32"/>
          <w:szCs w:val="32"/>
        </w:rPr>
        <w:t>第一产业完成24.4亿元，同比增长6.7%，排全市第1位;第二产业完成49.3亿元，同比增长10.2%，排全市第3位，第三产业完成79.1亿元，同比增长10.6%，排全市第1位。</w:t>
      </w:r>
      <w:r>
        <w:rPr>
          <w:rFonts w:hint="eastAsia" w:ascii="仿宋_GB2312" w:hAnsi="宋体" w:cs="宋体"/>
          <w:sz w:val="32"/>
          <w:szCs w:val="32"/>
        </w:rPr>
        <w:t>三次产业结构比为</w:t>
      </w:r>
      <w:r>
        <w:rPr>
          <w:rFonts w:ascii="仿宋_GB2312" w:hAnsi="宋体" w:cs="宋体"/>
          <w:sz w:val="32"/>
          <w:szCs w:val="32"/>
        </w:rPr>
        <w:t>16:32.3:51.8</w:t>
      </w:r>
      <w:r>
        <w:rPr>
          <w:rFonts w:hint="eastAsia" w:ascii="仿宋_GB2312" w:hAnsi="宋体" w:cs="宋体"/>
          <w:sz w:val="32"/>
          <w:szCs w:val="32"/>
        </w:rPr>
        <w:t>，呈“三二一”结构。</w:t>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9" w:name="_Toc76569934"/>
      <w:bookmarkStart w:id="10" w:name="_Toc76570155"/>
      <w:bookmarkStart w:id="11" w:name="_Toc78441329"/>
      <w:r>
        <w:rPr>
          <w:rFonts w:hint="eastAsia" w:ascii="黑体" w:hAnsi="黑体" w:eastAsia="黑体" w:cs="宋体"/>
          <w:color w:val="000000" w:themeColor="text1"/>
          <w:sz w:val="32"/>
          <w14:textFill>
            <w14:solidFill>
              <w14:schemeClr w14:val="tx1"/>
            </w14:solidFill>
          </w14:textFill>
        </w:rPr>
        <w:t>三、发展规划及潜力</w:t>
      </w:r>
      <w:bookmarkEnd w:id="9"/>
      <w:bookmarkEnd w:id="10"/>
      <w:bookmarkEnd w:id="11"/>
    </w:p>
    <w:p>
      <w:pPr>
        <w:spacing w:line="580" w:lineRule="exact"/>
        <w:ind w:firstLine="640" w:firstLineChars="200"/>
        <w:rPr>
          <w:rFonts w:ascii="仿宋_GB2312" w:hAnsi="宋体" w:cs="宋体"/>
          <w:sz w:val="32"/>
          <w:szCs w:val="32"/>
        </w:rPr>
      </w:pPr>
      <w:r>
        <w:rPr>
          <w:rFonts w:hint="eastAsia" w:ascii="仿宋_GB2312" w:hAnsi="宋体" w:cs="宋体"/>
          <w:sz w:val="32"/>
          <w:szCs w:val="32"/>
        </w:rPr>
        <w:t>“十四五”时期，息烽县将抢抓贵阳贵安融合发展重大战略机遇，以推动高质量发展为主题，深入实施乡村振兴、大数据、大生态三大战略行动，切实抓好产业链供应链优化升级，推动特色优势产业巩固提升、传统产业转型升级、新兴产业加快壮大，并以田园综合体建设为载体，围绕服务城市、富裕农民两大任务，实现做强农业经营主体、发展庄园经济的目标，不断提升农产品加工转化率，全力推动农业种植业提质增效。</w:t>
      </w:r>
      <w:r>
        <w:rPr>
          <w:rFonts w:ascii="方正小标宋简体" w:hAnsi="宋体" w:eastAsia="方正小标宋简体" w:cs="宋体"/>
          <w:color w:val="000000" w:themeColor="text1"/>
          <w:sz w:val="44"/>
          <w14:textFill>
            <w14:solidFill>
              <w14:schemeClr w14:val="tx1"/>
            </w14:solidFill>
          </w14:textFill>
        </w:rPr>
        <w:br w:type="page"/>
      </w: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12" w:name="_Toc76569935"/>
      <w:bookmarkStart w:id="13" w:name="_Toc76570156"/>
      <w:bookmarkStart w:id="14" w:name="_Toc78441330"/>
      <w:r>
        <w:rPr>
          <w:rFonts w:hint="eastAsia" w:ascii="方正小标宋简体" w:hAnsi="宋体" w:eastAsia="方正小标宋简体" w:cs="宋体"/>
          <w:color w:val="000000" w:themeColor="text1"/>
          <w:sz w:val="44"/>
          <w14:textFill>
            <w14:solidFill>
              <w14:schemeClr w14:val="tx1"/>
            </w14:solidFill>
          </w14:textFill>
        </w:rPr>
        <w:t>第二章 项目投资优势</w:t>
      </w:r>
      <w:bookmarkEnd w:id="12"/>
      <w:bookmarkEnd w:id="13"/>
      <w:bookmarkEnd w:id="14"/>
    </w:p>
    <w:p>
      <w:pPr>
        <w:spacing w:line="580" w:lineRule="exact"/>
        <w:rPr>
          <w:rFonts w:ascii="方正小标宋简体" w:eastAsia="方正小标宋简体"/>
          <w:b/>
          <w:bCs/>
          <w:sz w:val="44"/>
          <w:szCs w:val="44"/>
        </w:rPr>
      </w:pP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5" w:name="_Toc78441331"/>
      <w:r>
        <w:rPr>
          <w:rFonts w:hint="eastAsia" w:ascii="黑体" w:hAnsi="黑体" w:eastAsia="黑体" w:cs="宋体"/>
          <w:color w:val="000000" w:themeColor="text1"/>
          <w:sz w:val="32"/>
          <w14:textFill>
            <w14:solidFill>
              <w14:schemeClr w14:val="tx1"/>
            </w14:solidFill>
          </w14:textFill>
        </w:rPr>
        <w:t>一、蓝莓种植优势</w:t>
      </w:r>
      <w:bookmarkEnd w:id="15"/>
    </w:p>
    <w:p>
      <w:pPr>
        <w:spacing w:line="580" w:lineRule="exact"/>
        <w:ind w:firstLine="640" w:firstLineChars="200"/>
        <w:rPr>
          <w:rFonts w:ascii="仿宋_GB2312" w:hAnsi="宋体" w:cs="宋体"/>
          <w:sz w:val="32"/>
          <w:szCs w:val="32"/>
        </w:rPr>
      </w:pPr>
      <w:r>
        <w:rPr>
          <w:rFonts w:hint="eastAsia" w:ascii="仿宋_GB2312" w:hAnsi="宋体" w:cs="宋体"/>
          <w:sz w:val="32"/>
          <w:szCs w:val="32"/>
        </w:rPr>
        <w:t>水果种植与粮蔬等其他农产品种植相比，对土壤酸碱度、降雨量、光照等生态环境依赖性较高，且各品类水果对种植条件的要求差异性较大；而蓝莓作为高端的小浆果果种之一，对种植条件的依赖性更高。位于息烽县的西山、九庄、石硐、青山、鹿窝、温泉等乡镇，土质疏松，有机质含量高，多为缓坡型地型，便于排水。而且具备大量的红黄壤土质，土壤酸碱度、海拔高度、降雨量、平均气温、日照等自然条件均适宜蓝浆果生长。适宜的土地条件和优越的气候环境，为息烽县高品质、高标准培育栽种提供了保障，也为息烽县围绕蓝莓种植加工开发发展蓝莓全产业链提供了基础支持。</w:t>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6" w:name="_Toc78441332"/>
      <w:bookmarkStart w:id="17" w:name="_Toc76995086"/>
      <w:r>
        <w:rPr>
          <w:rFonts w:hint="eastAsia" w:ascii="黑体" w:hAnsi="黑体" w:eastAsia="黑体" w:cs="宋体"/>
          <w:color w:val="000000" w:themeColor="text1"/>
          <w:sz w:val="32"/>
          <w14:textFill>
            <w14:solidFill>
              <w14:schemeClr w14:val="tx1"/>
            </w14:solidFill>
          </w14:textFill>
        </w:rPr>
        <w:t>二、产业基础优势</w:t>
      </w:r>
      <w:bookmarkEnd w:id="16"/>
    </w:p>
    <w:p>
      <w:pPr>
        <w:spacing w:line="580" w:lineRule="exact"/>
        <w:ind w:firstLine="640" w:firstLineChars="200"/>
        <w:rPr>
          <w:rFonts w:ascii="仿宋_GB2312" w:hAnsi="宋体" w:cs="宋体"/>
          <w:sz w:val="32"/>
          <w:szCs w:val="32"/>
        </w:rPr>
      </w:pPr>
      <w:r>
        <w:rPr>
          <w:rFonts w:hint="eastAsia" w:ascii="仿宋_GB2312" w:hAnsi="宋体" w:cs="宋体"/>
          <w:sz w:val="32"/>
          <w:szCs w:val="32"/>
        </w:rPr>
        <w:t>蓝莓在贵州已栽培发展20余年，产业覆盖了全省70多个县市，其规模和产量位居全国第一。息烽县早年在西山乡金星村试种20余亩，产出果子色泽、品质等与贵州麻江县推广种植的蓝浆果无异。现拥有息烽玉田蓝莓园、息烽安江农业综合开发有限公司等蓝莓种植及销售企业，以及贵州息烽老农夫靖山生态农业发展有限公司、贵州林宜居农业生态科技有限公司、息烽愉农生态农业专业合作社等农产品收购、加工及配送企业，初步形成了以蓝莓原果为基础，覆盖蓝莓鲜果及蓝莓酒、蓝莓果脯、蓝莓汁等各类蓝莓深加工产品蓝莓全产业链共同发展的格局。</w:t>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8" w:name="_Toc78441333"/>
      <w:r>
        <w:rPr>
          <w:rFonts w:hint="eastAsia" w:ascii="黑体" w:hAnsi="黑体" w:eastAsia="黑体" w:cs="宋体"/>
          <w:color w:val="000000" w:themeColor="text1"/>
          <w:sz w:val="32"/>
          <w14:textFill>
            <w14:solidFill>
              <w14:schemeClr w14:val="tx1"/>
            </w14:solidFill>
          </w14:textFill>
        </w:rPr>
        <w:t>三、</w:t>
      </w:r>
      <w:bookmarkEnd w:id="17"/>
      <w:r>
        <w:rPr>
          <w:rFonts w:hint="eastAsia" w:ascii="黑体" w:hAnsi="黑体" w:eastAsia="黑体" w:cs="宋体"/>
          <w:color w:val="000000" w:themeColor="text1"/>
          <w:sz w:val="32"/>
          <w14:textFill>
            <w14:solidFill>
              <w14:schemeClr w14:val="tx1"/>
            </w14:solidFill>
          </w14:textFill>
        </w:rPr>
        <w:t>区位交通优势</w:t>
      </w:r>
      <w:bookmarkEnd w:id="18"/>
    </w:p>
    <w:p>
      <w:pPr>
        <w:spacing w:line="580" w:lineRule="exact"/>
        <w:ind w:firstLine="640" w:firstLineChars="200"/>
        <w:rPr>
          <w:rFonts w:ascii="仿宋_GB2312" w:hAnsi="宋体" w:cs="宋体"/>
          <w:sz w:val="32"/>
          <w:szCs w:val="32"/>
        </w:rPr>
      </w:pPr>
      <w:r>
        <w:rPr>
          <w:rFonts w:hint="eastAsia" w:ascii="仿宋_GB2312" w:hAnsi="宋体" w:cs="宋体"/>
          <w:sz w:val="32"/>
          <w:szCs w:val="32"/>
        </w:rPr>
        <w:t>息烽位于西南两重镇的中间节点，地理区位优势明显。息烽县城南离贵州省会城市贵阳市</w:t>
      </w:r>
      <w:r>
        <w:rPr>
          <w:rFonts w:ascii="仿宋_GB2312" w:hAnsi="宋体" w:cs="宋体"/>
          <w:sz w:val="32"/>
          <w:szCs w:val="32"/>
        </w:rPr>
        <w:t>61公里，北距历史名城遵义市87公里，处于西南两重镇——贵阳市和遵义市的交汇区域，同时受到贵阳和遵义“双核”的辐射带动。贵阳和遵义是黔中城市群中最重要的两大都市，属国家重点支持建设的黔中城市群，贵遵同城发展已成必然。随着贵阳都市区的向北扩张和遵义都市区的向南拓展，对于地处贵遵两大都市区中间节点的息烽，其经济发展战略地位和城市功能承接作用将迅速提高，区位优势将更加明显和突出，在未来黔中地区经济社会发展过程中将扮演更加重要的角色。</w:t>
      </w:r>
    </w:p>
    <w:p>
      <w:pPr>
        <w:spacing w:line="580" w:lineRule="exact"/>
        <w:ind w:firstLine="640" w:firstLineChars="200"/>
        <w:rPr>
          <w:rFonts w:ascii="仿宋_GB2312" w:hAnsi="宋体" w:cs="宋体"/>
          <w:sz w:val="32"/>
          <w:szCs w:val="32"/>
        </w:rPr>
      </w:pPr>
      <w:r>
        <w:rPr>
          <w:rFonts w:hint="eastAsia" w:ascii="仿宋_GB2312" w:hAnsi="宋体" w:cs="宋体"/>
          <w:sz w:val="32"/>
          <w:szCs w:val="32"/>
        </w:rPr>
        <w:t>息烽是西南出海要道，黔中交通枢纽。兰海高速公路、川黔铁路、国道</w:t>
      </w:r>
      <w:r>
        <w:rPr>
          <w:rFonts w:ascii="仿宋_GB2312" w:hAnsi="宋体" w:cs="宋体"/>
          <w:sz w:val="32"/>
          <w:szCs w:val="32"/>
        </w:rPr>
        <w:t>210、渝黔快铁在息烽境内从北至南穿境而过，是我国西北和西南地区南下出海的必经之路，也是贵阳市北上的“桥头堡”。贯穿东西的都格高速不但具有连接黔中经济区辐射带动圈重要节点城镇的作用，而且与南北向的兰海高速在息烽境内十字交叉，使息烽与省内主要城市的联系更加紧密。境内南北向和东西向的高速公路和铁路将息烽与省内主要城市——贵阳、遵义、安顺、都匀、毕节、铜仁、六盘水和凯里等有机地联接起来，交通四通八达，交通枢纽地位突出,投资区位良好，发展潜力巨大。</w:t>
      </w:r>
    </w:p>
    <w:p>
      <w:pPr>
        <w:spacing w:line="580" w:lineRule="exact"/>
        <w:ind w:firstLine="562" w:firstLineChars="200"/>
        <w:jc w:val="center"/>
        <w:rPr>
          <w:rFonts w:ascii="仿宋_GB2312" w:hAnsi="宋体" w:cs="宋体"/>
          <w:b/>
          <w:szCs w:val="32"/>
        </w:rPr>
      </w:pPr>
      <w:r>
        <w:rPr>
          <w:rFonts w:hint="eastAsia" w:ascii="仿宋_GB2312" w:hAnsi="宋体" w:cs="宋体"/>
          <w:b/>
          <w:szCs w:val="32"/>
        </w:rPr>
        <w:t xml:space="preserve">图表 </w:t>
      </w:r>
      <w:r>
        <w:rPr>
          <w:rFonts w:ascii="仿宋_GB2312" w:hAnsi="宋体" w:cs="宋体"/>
          <w:b/>
          <w:szCs w:val="32"/>
        </w:rPr>
        <w:t>3  息烽县区位图</w:t>
      </w:r>
    </w:p>
    <w:p>
      <w:pPr>
        <w:spacing w:line="276" w:lineRule="auto"/>
        <w:jc w:val="center"/>
        <w:rPr>
          <w:rFonts w:ascii="仿宋_GB2312" w:hAnsi="宋体" w:cs="宋体"/>
          <w:sz w:val="32"/>
          <w:szCs w:val="32"/>
        </w:rPr>
      </w:pPr>
      <w:r>
        <w:rPr>
          <w:rFonts w:hint="eastAsia" w:ascii="仿宋_GB2312" w:hAnsi="宋体" w:cs="宋体"/>
        </w:rPr>
        <w:drawing>
          <wp:inline distT="0" distB="0" distL="114300" distR="114300">
            <wp:extent cx="4269105" cy="2787015"/>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0"/>
                    <a:srcRect b="2939"/>
                    <a:stretch>
                      <a:fillRect/>
                    </a:stretch>
                  </pic:blipFill>
                  <pic:spPr>
                    <a:xfrm>
                      <a:off x="0" y="0"/>
                      <a:ext cx="4326805" cy="2824382"/>
                    </a:xfrm>
                    <a:prstGeom prst="rect">
                      <a:avLst/>
                    </a:prstGeom>
                    <a:noFill/>
                    <a:ln>
                      <a:noFill/>
                    </a:ln>
                  </pic:spPr>
                </pic:pic>
              </a:graphicData>
            </a:graphic>
          </wp:inline>
        </w:drawing>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9" w:name="_Toc76569938"/>
      <w:bookmarkStart w:id="20" w:name="_Toc76570159"/>
      <w:bookmarkStart w:id="21" w:name="_Toc20114"/>
      <w:bookmarkStart w:id="22" w:name="_Toc78441334"/>
      <w:r>
        <w:rPr>
          <w:rFonts w:hint="eastAsia" w:ascii="黑体" w:hAnsi="黑体" w:eastAsia="黑体" w:cs="宋体"/>
          <w:color w:val="000000" w:themeColor="text1"/>
          <w:sz w:val="32"/>
          <w14:textFill>
            <w14:solidFill>
              <w14:schemeClr w14:val="tx1"/>
            </w14:solidFill>
          </w14:textFill>
        </w:rPr>
        <w:t>四、</w:t>
      </w:r>
      <w:bookmarkEnd w:id="19"/>
      <w:bookmarkEnd w:id="20"/>
      <w:bookmarkEnd w:id="21"/>
      <w:r>
        <w:rPr>
          <w:rFonts w:hint="eastAsia" w:ascii="黑体" w:hAnsi="黑体" w:eastAsia="黑体" w:cs="宋体"/>
          <w:color w:val="000000" w:themeColor="text1"/>
          <w:sz w:val="32"/>
          <w14:textFill>
            <w14:solidFill>
              <w14:schemeClr w14:val="tx1"/>
            </w14:solidFill>
          </w14:textFill>
        </w:rPr>
        <w:t>营商环境优势</w:t>
      </w:r>
      <w:bookmarkEnd w:id="22"/>
    </w:p>
    <w:p>
      <w:pPr>
        <w:spacing w:line="580" w:lineRule="exact"/>
        <w:ind w:firstLine="640" w:firstLineChars="200"/>
        <w:rPr>
          <w:rFonts w:ascii="仿宋_GB2312" w:hAnsi="宋体" w:cs="宋体"/>
          <w:sz w:val="32"/>
          <w:szCs w:val="32"/>
        </w:rPr>
      </w:pPr>
      <w:r>
        <w:rPr>
          <w:rFonts w:hint="eastAsia" w:ascii="仿宋_GB2312" w:hAnsi="宋体" w:cs="宋体"/>
          <w:sz w:val="32"/>
          <w:szCs w:val="32"/>
        </w:rPr>
        <w:t>息烽县紧紧围绕“一品一业、百业富贵”的新愿景和“成为开放发展的‘新亮点’，打造中高端制造业核心配套区”的新定位，集中精力、集中力量、集中资源狠抓实体经济，着力打造“7+1”服务平台，做实产业配套支撑。产业链招商平台——以息烽经开区为载体，完善园区配套设施，引进和培育企业入驻，全力打造园区孵化平台，提升园区承载力；金融服务平台——积极引进省内外股份制商业银行、证券公司、保险公司和中介服务机构来息设立分支机构，支持村镇银行到乡(镇)设立分支机构，鼓励商业银行向下延伸服务网点和开展业务；物流配送平台——规划建设三交港，打造集物流快递、综合服务为一体的商贸物流生态集聚圈；品牌培育平台——组建县级标准化专业技术委员会，制定一批产品、服务、管理标准，建立我县绿色发展标准体系，建设标准服务平台；营商平台——进一步提升网上办事大厅功能，统一规范投资项目审批流程，实现投资项目审批事项网上申请、网上补件、网上查询、网上办结；人才培训平台——探索建立科技成果等生产要素参与收益分配制度，建立规范有效的人才奖励机制；科技创新平台——建立政府、企业、高校与智库等“多方投入、成果共享、产学研一体”的协同创新机制；“大数据+5G”服务实体经济体系——推进“大数据+5G”战略行动，深化大数据与实体经济融合。</w:t>
      </w:r>
      <w:bookmarkStart w:id="23" w:name="_Toc76569940"/>
      <w:bookmarkStart w:id="24" w:name="_Toc76570161"/>
    </w:p>
    <w:p>
      <w:pPr>
        <w:spacing w:line="580" w:lineRule="exact"/>
        <w:ind w:firstLine="560" w:firstLineChars="200"/>
        <w:rPr>
          <w:rFonts w:ascii="仿宋_GB2312" w:hAnsi="宋体" w:cs="宋体"/>
          <w:sz w:val="32"/>
          <w:szCs w:val="32"/>
        </w:rPr>
      </w:pPr>
      <w:r>
        <w:br w:type="page"/>
      </w: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25" w:name="_Toc78441335"/>
      <w:r>
        <w:rPr>
          <w:rFonts w:hint="eastAsia" w:ascii="方正小标宋简体" w:hAnsi="宋体" w:eastAsia="方正小标宋简体" w:cs="宋体"/>
          <w:color w:val="000000" w:themeColor="text1"/>
          <w:sz w:val="44"/>
          <w14:textFill>
            <w14:solidFill>
              <w14:schemeClr w14:val="tx1"/>
            </w14:solidFill>
          </w14:textFill>
        </w:rPr>
        <w:t>第三章 项目开发建设方案</w:t>
      </w:r>
      <w:bookmarkEnd w:id="23"/>
      <w:bookmarkEnd w:id="24"/>
      <w:bookmarkEnd w:id="25"/>
    </w:p>
    <w:p>
      <w:pPr>
        <w:spacing w:line="580" w:lineRule="exact"/>
        <w:rPr>
          <w:rFonts w:ascii="方正小标宋简体" w:eastAsia="方正小标宋简体"/>
          <w:b/>
          <w:bCs/>
          <w:sz w:val="44"/>
          <w:szCs w:val="44"/>
        </w:rPr>
      </w:pP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26" w:name="_Toc76569941"/>
      <w:bookmarkStart w:id="27" w:name="_Toc76570162"/>
      <w:bookmarkStart w:id="28" w:name="_Toc78441336"/>
      <w:bookmarkStart w:id="29" w:name="_Hlk57640964"/>
      <w:r>
        <w:rPr>
          <w:rFonts w:hint="eastAsia" w:ascii="黑体" w:hAnsi="黑体" w:eastAsia="黑体" w:cs="宋体"/>
          <w:color w:val="000000" w:themeColor="text1"/>
          <w:sz w:val="32"/>
          <w14:textFill>
            <w14:solidFill>
              <w14:schemeClr w14:val="tx1"/>
            </w14:solidFill>
          </w14:textFill>
        </w:rPr>
        <w:t>一、项目建设背景</w:t>
      </w:r>
      <w:bookmarkEnd w:id="26"/>
      <w:bookmarkEnd w:id="27"/>
      <w:bookmarkEnd w:id="28"/>
    </w:p>
    <w:p>
      <w:pPr>
        <w:spacing w:line="580" w:lineRule="exact"/>
        <w:ind w:firstLine="640" w:firstLineChars="200"/>
        <w:rPr>
          <w:rFonts w:ascii="仿宋_GB2312" w:hAnsi="宋体" w:cs="宋体"/>
          <w:sz w:val="32"/>
          <w:szCs w:val="32"/>
        </w:rPr>
      </w:pPr>
      <w:r>
        <w:rPr>
          <w:rFonts w:hint="eastAsia" w:ascii="仿宋_GB2312" w:hAnsi="宋体" w:cs="宋体"/>
          <w:sz w:val="32"/>
          <w:szCs w:val="32"/>
        </w:rPr>
        <w:t>蓝莓是一种新兴的世界性小浆果，蓝莓营养价值高，果肉细腻，口感独特，富含人体所需的蛋白质及多种维生素、矿物质和微量元素，尤其富含花青素。具有抗氧化、保护视力、提高人体免疫力的作用，是世界粮农组织推荐的五大健康水果之一。近几年来，各类食品企业纷纷进军蓝莓产业，市场需求迅速扩大，而我国蓝莓还远远不能满足市场的需求，仍需依赖大量进口。未来，随着我国经济的不断发展，居民收入的提高，城乡居民膳食结构趋向更营养化、合理化、科学化，对高端、营养价值高的水果消费比重将逐步提高，我国蓝莓行业市场规模将保持高速增长态势。</w:t>
      </w:r>
    </w:p>
    <w:p>
      <w:pPr>
        <w:spacing w:line="580" w:lineRule="exact"/>
        <w:ind w:firstLine="640" w:firstLineChars="200"/>
        <w:rPr>
          <w:rFonts w:ascii="仿宋_GB2312" w:hAnsi="宋体" w:cs="宋体"/>
          <w:sz w:val="32"/>
          <w:szCs w:val="32"/>
        </w:rPr>
      </w:pPr>
      <w:r>
        <w:rPr>
          <w:rFonts w:hint="eastAsia" w:ascii="仿宋_GB2312" w:hAnsi="宋体" w:cs="宋体"/>
          <w:sz w:val="32"/>
          <w:szCs w:val="32"/>
        </w:rPr>
        <w:t>贵州省是</w:t>
      </w:r>
      <w:r>
        <w:rPr>
          <w:rFonts w:ascii="仿宋_GB2312" w:hAnsi="宋体" w:cs="宋体"/>
          <w:sz w:val="32"/>
          <w:szCs w:val="32"/>
        </w:rPr>
        <w:t>全国最大的蓝莓生产省，种植面积、产量均居于全国首位。</w:t>
      </w:r>
      <w:r>
        <w:rPr>
          <w:rFonts w:hint="eastAsia" w:ascii="仿宋_GB2312" w:hAnsi="宋体" w:cs="宋体"/>
          <w:sz w:val="32"/>
          <w:szCs w:val="32"/>
        </w:rPr>
        <w:t>发展蓝浆果首要限制因子是大多数地方缺乏酸性土壤，而贵州省贵阳市息烽县具备大量的红黄壤土质，</w:t>
      </w:r>
      <w:r>
        <w:rPr>
          <w:rFonts w:ascii="仿宋_GB2312" w:hAnsi="宋体" w:cs="宋体"/>
          <w:sz w:val="32"/>
          <w:szCs w:val="32"/>
        </w:rPr>
        <w:t>完全适宜蓝浆果对土壤的要求</w:t>
      </w:r>
      <w:r>
        <w:rPr>
          <w:rFonts w:hint="eastAsia" w:ascii="仿宋_GB2312" w:hAnsi="宋体" w:cs="宋体"/>
          <w:sz w:val="32"/>
          <w:szCs w:val="32"/>
        </w:rPr>
        <w:t>。</w:t>
      </w:r>
      <w:r>
        <w:rPr>
          <w:rFonts w:ascii="仿宋_GB2312" w:hAnsi="宋体" w:cs="宋体"/>
          <w:sz w:val="32"/>
          <w:szCs w:val="32"/>
        </w:rPr>
        <w:t>目前息烽温泉、石硐、西山等乡镇均有种植，种植面积在200亩左右，有良好的产业基础。</w:t>
      </w:r>
      <w:bookmarkStart w:id="30" w:name="_Hlk83645352"/>
      <w:r>
        <w:rPr>
          <w:rFonts w:hint="eastAsia" w:ascii="仿宋_GB2312" w:hAnsi="宋体" w:cs="宋体"/>
          <w:sz w:val="32"/>
          <w:szCs w:val="32"/>
        </w:rPr>
        <w:t>在此背景下，息烽拟实施蓝浆果种植项目，种植蓝浆果</w:t>
      </w:r>
      <w:r>
        <w:rPr>
          <w:rFonts w:ascii="仿宋_GB2312" w:hAnsi="宋体" w:cs="宋体"/>
          <w:sz w:val="32"/>
          <w:szCs w:val="32"/>
        </w:rPr>
        <w:t>1000亩</w:t>
      </w:r>
      <w:bookmarkEnd w:id="30"/>
      <w:r>
        <w:rPr>
          <w:rFonts w:ascii="仿宋_GB2312" w:hAnsi="宋体" w:cs="宋体"/>
          <w:sz w:val="32"/>
          <w:szCs w:val="32"/>
        </w:rPr>
        <w:t>，</w:t>
      </w:r>
      <w:bookmarkStart w:id="31" w:name="_Hlk83645372"/>
      <w:r>
        <w:rPr>
          <w:rFonts w:hint="eastAsia" w:ascii="仿宋_GB2312" w:hAnsi="宋体" w:cs="宋体"/>
          <w:sz w:val="32"/>
          <w:szCs w:val="32"/>
        </w:rPr>
        <w:t>满足人民对优质水果的需求</w:t>
      </w:r>
      <w:bookmarkEnd w:id="31"/>
      <w:r>
        <w:rPr>
          <w:rFonts w:hint="eastAsia" w:ascii="仿宋_GB2312" w:hAnsi="宋体" w:cs="宋体"/>
          <w:sz w:val="32"/>
          <w:szCs w:val="32"/>
        </w:rPr>
        <w:t>，提升息烽蓝莓产业品牌影响力和竞争力，助推农产品“黔货出山”。</w:t>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32" w:name="_Toc76569942"/>
      <w:bookmarkStart w:id="33" w:name="_Toc76570163"/>
      <w:bookmarkStart w:id="34" w:name="_Toc78441337"/>
      <w:r>
        <w:rPr>
          <w:rFonts w:hint="eastAsia" w:ascii="黑体" w:hAnsi="黑体" w:eastAsia="黑体" w:cs="宋体"/>
          <w:color w:val="000000" w:themeColor="text1"/>
          <w:sz w:val="32"/>
          <w14:textFill>
            <w14:solidFill>
              <w14:schemeClr w14:val="tx1"/>
            </w14:solidFill>
          </w14:textFill>
        </w:rPr>
        <w:t>二、项目建设地点</w:t>
      </w:r>
      <w:bookmarkEnd w:id="32"/>
      <w:bookmarkEnd w:id="33"/>
      <w:bookmarkEnd w:id="34"/>
    </w:p>
    <w:p>
      <w:pPr>
        <w:spacing w:line="580" w:lineRule="exact"/>
        <w:ind w:firstLine="640" w:firstLineChars="200"/>
        <w:rPr>
          <w:rFonts w:ascii="仿宋_GB2312" w:hAnsi="宋体" w:cs="宋体"/>
          <w:sz w:val="32"/>
          <w:szCs w:val="32"/>
        </w:rPr>
      </w:pPr>
      <w:r>
        <w:rPr>
          <w:rFonts w:hint="eastAsia" w:ascii="仿宋_GB2312" w:hAnsi="宋体" w:cs="宋体"/>
          <w:sz w:val="32"/>
          <w:szCs w:val="32"/>
        </w:rPr>
        <w:t>项目拟建地位于贵州省贵阳市息烽县温泉镇，享有“国泉神汤”之美誉。</w:t>
      </w:r>
      <w:r>
        <w:rPr>
          <w:rFonts w:hint="eastAsia" w:ascii="仿宋_GB2312" w:hAnsi="宋体" w:cs="宋体"/>
          <w:b/>
          <w:bCs/>
          <w:sz w:val="32"/>
          <w:szCs w:val="32"/>
        </w:rPr>
        <w:t>省域层面：</w:t>
      </w:r>
      <w:r>
        <w:rPr>
          <w:rFonts w:hint="eastAsia" w:ascii="仿宋_GB2312" w:hAnsi="宋体" w:cs="宋体"/>
          <w:sz w:val="32"/>
          <w:szCs w:val="32"/>
        </w:rPr>
        <w:t>温泉镇是贵州中部名镇，位于息开组团的区域中心，是黔中、黔北两大发展板块的资源交汇区，是连接遵义一贵阳这一南北主通道的中心位置。</w:t>
      </w:r>
      <w:r>
        <w:rPr>
          <w:rFonts w:hint="eastAsia" w:ascii="仿宋_GB2312" w:hAnsi="宋体" w:cs="宋体"/>
          <w:b/>
          <w:bCs/>
          <w:sz w:val="32"/>
          <w:szCs w:val="32"/>
        </w:rPr>
        <w:t>市域层面：</w:t>
      </w:r>
      <w:r>
        <w:rPr>
          <w:rFonts w:hint="eastAsia" w:ascii="仿宋_GB2312" w:hAnsi="宋体" w:cs="宋体"/>
          <w:sz w:val="32"/>
          <w:szCs w:val="32"/>
        </w:rPr>
        <w:t>温泉镇在贵阳市一小时经济圈内，作为温泉镇的品牌产业，息烽温泉景区在贵阳市域中影响力较大。</w:t>
      </w:r>
      <w:r>
        <w:rPr>
          <w:rFonts w:hint="eastAsia" w:ascii="仿宋_GB2312" w:hAnsi="宋体" w:cs="宋体"/>
          <w:b/>
          <w:bCs/>
          <w:sz w:val="32"/>
          <w:szCs w:val="32"/>
        </w:rPr>
        <w:t>县域层面：</w:t>
      </w:r>
      <w:r>
        <w:rPr>
          <w:rFonts w:hint="eastAsia" w:ascii="仿宋_GB2312" w:hAnsi="宋体" w:cs="宋体"/>
          <w:sz w:val="32"/>
          <w:szCs w:val="32"/>
        </w:rPr>
        <w:t>温泉镇位于息烽县东北面，处于息烽以息开、息黔高速为纽带的新的东西向城镇发展轴上，属于生态功能发展区。西与养龙司镇接壤（</w:t>
      </w:r>
      <w:r>
        <w:rPr>
          <w:rFonts w:ascii="仿宋_GB2312" w:hAnsi="宋体" w:cs="宋体"/>
          <w:sz w:val="32"/>
          <w:szCs w:val="32"/>
        </w:rPr>
        <w:t>息烽县主要的农业生产地区之一</w:t>
      </w:r>
      <w:r>
        <w:rPr>
          <w:rFonts w:hint="eastAsia" w:ascii="仿宋_GB2312" w:hAnsi="宋体" w:cs="宋体"/>
          <w:sz w:val="32"/>
          <w:szCs w:val="32"/>
        </w:rPr>
        <w:t>）</w:t>
      </w:r>
      <w:r>
        <w:rPr>
          <w:rFonts w:ascii="仿宋_GB2312" w:hAnsi="宋体" w:cs="宋体"/>
          <w:sz w:val="32"/>
          <w:szCs w:val="32"/>
        </w:rPr>
        <w:t>，在种植的基础上发展蔬菜加工、贮藏、保鲜产业，与温泉的经果类生态保育种植有一定的互补性。南与小寨坝镇相接</w:t>
      </w:r>
      <w:r>
        <w:rPr>
          <w:rFonts w:hint="eastAsia" w:ascii="仿宋_GB2312" w:hAnsi="宋体" w:cs="宋体"/>
          <w:sz w:val="32"/>
          <w:szCs w:val="32"/>
        </w:rPr>
        <w:t>（</w:t>
      </w:r>
      <w:r>
        <w:rPr>
          <w:rFonts w:ascii="仿宋_GB2312" w:hAnsi="宋体" w:cs="宋体"/>
          <w:sz w:val="32"/>
          <w:szCs w:val="32"/>
        </w:rPr>
        <w:t>省级磷煤化工产业基地</w:t>
      </w:r>
      <w:r>
        <w:rPr>
          <w:rFonts w:hint="eastAsia" w:ascii="仿宋_GB2312" w:hAnsi="宋体" w:cs="宋体"/>
          <w:sz w:val="32"/>
          <w:szCs w:val="32"/>
        </w:rPr>
        <w:t>），</w:t>
      </w:r>
      <w:r>
        <w:rPr>
          <w:rFonts w:ascii="仿宋_GB2312" w:hAnsi="宋体" w:cs="宋体"/>
          <w:sz w:val="32"/>
          <w:szCs w:val="32"/>
        </w:rPr>
        <w:t>与温泉镇的西洋等产业关系密切</w:t>
      </w:r>
      <w:r>
        <w:rPr>
          <w:rFonts w:hint="eastAsia" w:ascii="仿宋_GB2312" w:hAnsi="宋体" w:cs="宋体"/>
          <w:sz w:val="32"/>
          <w:szCs w:val="32"/>
        </w:rPr>
        <w:t>。</w:t>
      </w:r>
      <w:r>
        <w:rPr>
          <w:rFonts w:ascii="仿宋_GB2312" w:hAnsi="宋体" w:cs="宋体"/>
          <w:sz w:val="32"/>
          <w:szCs w:val="32"/>
        </w:rPr>
        <w:t>此外</w:t>
      </w:r>
      <w:r>
        <w:rPr>
          <w:rFonts w:hint="eastAsia" w:ascii="仿宋_GB2312" w:hAnsi="宋体" w:cs="宋体"/>
          <w:sz w:val="32"/>
          <w:szCs w:val="32"/>
        </w:rPr>
        <w:t>，</w:t>
      </w:r>
      <w:r>
        <w:rPr>
          <w:rFonts w:ascii="仿宋_GB2312" w:hAnsi="宋体" w:cs="宋体"/>
          <w:sz w:val="32"/>
          <w:szCs w:val="32"/>
        </w:rPr>
        <w:t>在小寨坝镇北部将规划大屋基农副产品加工工业园。</w:t>
      </w:r>
    </w:p>
    <w:p>
      <w:pPr>
        <w:jc w:val="center"/>
        <w:rPr>
          <w:rFonts w:ascii="仿宋_GB2312" w:hAnsi="宋体" w:cs="宋体"/>
          <w:b/>
          <w:szCs w:val="32"/>
        </w:rPr>
      </w:pPr>
    </w:p>
    <w:p>
      <w:pPr>
        <w:jc w:val="center"/>
        <w:rPr>
          <w:rFonts w:ascii="仿宋_GB2312" w:hAnsi="宋体" w:cs="宋体"/>
          <w:b/>
          <w:szCs w:val="32"/>
        </w:rPr>
      </w:pPr>
    </w:p>
    <w:p>
      <w:pPr>
        <w:jc w:val="center"/>
        <w:rPr>
          <w:rFonts w:ascii="仿宋_GB2312" w:hAnsi="宋体" w:cs="宋体"/>
          <w:b/>
          <w:szCs w:val="32"/>
        </w:rPr>
      </w:pPr>
    </w:p>
    <w:p>
      <w:pPr>
        <w:jc w:val="center"/>
        <w:rPr>
          <w:rFonts w:ascii="仿宋_GB2312" w:hAnsi="宋体" w:cs="宋体"/>
          <w:b/>
          <w:szCs w:val="32"/>
        </w:rPr>
      </w:pPr>
    </w:p>
    <w:p>
      <w:pPr>
        <w:jc w:val="center"/>
        <w:rPr>
          <w:rFonts w:ascii="仿宋_GB2312" w:hAnsi="宋体" w:cs="宋体"/>
          <w:b/>
          <w:szCs w:val="32"/>
        </w:rPr>
      </w:pPr>
    </w:p>
    <w:p>
      <w:pPr>
        <w:jc w:val="center"/>
        <w:rPr>
          <w:rFonts w:ascii="仿宋_GB2312" w:hAnsi="宋体" w:cs="宋体"/>
          <w:b/>
          <w:szCs w:val="32"/>
        </w:rPr>
      </w:pPr>
    </w:p>
    <w:p>
      <w:pPr>
        <w:jc w:val="center"/>
        <w:rPr>
          <w:rFonts w:ascii="仿宋_GB2312" w:hAnsi="宋体" w:cs="宋体"/>
          <w:b/>
          <w:szCs w:val="32"/>
        </w:rPr>
      </w:pPr>
    </w:p>
    <w:p>
      <w:pPr>
        <w:spacing w:line="580" w:lineRule="exact"/>
        <w:jc w:val="center"/>
        <w:rPr>
          <w:rFonts w:ascii="仿宋_GB2312" w:hAnsi="宋体" w:cs="宋体"/>
          <w:b/>
          <w:szCs w:val="32"/>
        </w:rPr>
      </w:pPr>
    </w:p>
    <w:p>
      <w:pPr>
        <w:spacing w:line="580" w:lineRule="exact"/>
        <w:jc w:val="center"/>
        <w:rPr>
          <w:rFonts w:ascii="仿宋_GB2312" w:hAnsi="宋体" w:cs="宋体"/>
          <w:b/>
          <w:szCs w:val="32"/>
        </w:rPr>
      </w:pPr>
    </w:p>
    <w:p>
      <w:pPr>
        <w:spacing w:line="580" w:lineRule="exact"/>
        <w:jc w:val="center"/>
        <w:rPr>
          <w:rFonts w:ascii="仿宋_GB2312" w:hAnsi="宋体" w:cs="宋体"/>
          <w:b/>
          <w:szCs w:val="32"/>
        </w:rPr>
      </w:pPr>
    </w:p>
    <w:p>
      <w:pPr>
        <w:spacing w:line="580" w:lineRule="exact"/>
        <w:rPr>
          <w:rFonts w:ascii="仿宋_GB2312" w:hAnsi="宋体" w:cs="宋体"/>
          <w:b/>
          <w:szCs w:val="32"/>
        </w:rPr>
      </w:pPr>
    </w:p>
    <w:p>
      <w:pPr>
        <w:spacing w:line="580" w:lineRule="exact"/>
        <w:jc w:val="center"/>
        <w:rPr>
          <w:rFonts w:ascii="仿宋_GB2312" w:hAnsi="宋体" w:cs="宋体"/>
          <w:b/>
          <w:szCs w:val="32"/>
        </w:rPr>
      </w:pPr>
      <w:r>
        <w:rPr>
          <w:rFonts w:hint="eastAsia" w:ascii="仿宋_GB2312" w:hAnsi="宋体" w:cs="宋体"/>
          <w:b/>
          <w:szCs w:val="32"/>
        </w:rPr>
        <w:t>图表</w:t>
      </w:r>
      <w:r>
        <w:rPr>
          <w:rFonts w:ascii="仿宋_GB2312" w:hAnsi="宋体" w:cs="宋体"/>
          <w:b/>
          <w:szCs w:val="32"/>
        </w:rPr>
        <w:t xml:space="preserve"> 4  项目建设地点</w:t>
      </w:r>
    </w:p>
    <w:p>
      <w:pPr>
        <w:jc w:val="center"/>
        <w:rPr>
          <w:rFonts w:ascii="仿宋_GB2312" w:hAnsi="宋体" w:cs="宋体"/>
          <w:sz w:val="32"/>
          <w:szCs w:val="32"/>
        </w:rPr>
      </w:pPr>
      <w:r>
        <w:rPr>
          <w:rFonts w:ascii="仿宋_GB2312" w:hAnsi="宋体" w:cs="宋体"/>
          <w:sz w:val="32"/>
          <w:szCs w:val="32"/>
        </w:rPr>
        <w:drawing>
          <wp:inline distT="0" distB="0" distL="0" distR="0">
            <wp:extent cx="5018405" cy="4169410"/>
            <wp:effectExtent l="0" t="0" r="317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18819" cy="4169866"/>
                    </a:xfrm>
                    <a:prstGeom prst="rect">
                      <a:avLst/>
                    </a:prstGeom>
                    <a:noFill/>
                  </pic:spPr>
                </pic:pic>
              </a:graphicData>
            </a:graphic>
          </wp:inline>
        </w:drawing>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35" w:name="_Toc76569943"/>
      <w:bookmarkStart w:id="36" w:name="_Toc76570164"/>
      <w:bookmarkStart w:id="37" w:name="_Toc78441338"/>
      <w:bookmarkStart w:id="38" w:name="_Hlk76723904"/>
      <w:r>
        <w:rPr>
          <w:rFonts w:hint="eastAsia" w:ascii="黑体" w:hAnsi="黑体" w:eastAsia="黑体" w:cs="宋体"/>
          <w:color w:val="000000" w:themeColor="text1"/>
          <w:sz w:val="32"/>
          <w14:textFill>
            <w14:solidFill>
              <w14:schemeClr w14:val="tx1"/>
            </w14:solidFill>
          </w14:textFill>
        </w:rPr>
        <w:t>三、项目开发方案</w:t>
      </w:r>
      <w:bookmarkEnd w:id="35"/>
      <w:bookmarkEnd w:id="36"/>
      <w:bookmarkEnd w:id="37"/>
    </w:p>
    <w:bookmarkEnd w:id="38"/>
    <w:p>
      <w:pPr>
        <w:spacing w:line="580" w:lineRule="exact"/>
        <w:ind w:firstLine="640" w:firstLineChars="200"/>
        <w:rPr>
          <w:rFonts w:ascii="仿宋_GB2312" w:hAnsi="宋体" w:cs="宋体"/>
          <w:sz w:val="32"/>
          <w:szCs w:val="32"/>
        </w:rPr>
      </w:pPr>
      <w:r>
        <w:rPr>
          <w:rFonts w:hint="eastAsia" w:ascii="仿宋_GB2312" w:hAnsi="宋体" w:cs="宋体"/>
          <w:sz w:val="32"/>
          <w:szCs w:val="32"/>
        </w:rPr>
        <w:t>依托息烽蓝莓种植、产业基础、区位交通、营商环境等优势，拟在息烽县温泉镇规划种植蓝浆果</w:t>
      </w:r>
      <w:r>
        <w:rPr>
          <w:rFonts w:ascii="仿宋_GB2312" w:hAnsi="宋体" w:cs="宋体"/>
          <w:sz w:val="32"/>
          <w:szCs w:val="32"/>
        </w:rPr>
        <w:t>1000亩，配套建设500平方米管理用房。</w:t>
      </w:r>
      <w:r>
        <w:rPr>
          <w:rFonts w:hint="eastAsia" w:ascii="仿宋_GB2312" w:hAnsi="宋体" w:cs="宋体"/>
          <w:sz w:val="32"/>
          <w:szCs w:val="32"/>
        </w:rPr>
        <w:t>通过果树专用肥、生物菌肥沼液等的运用，保证无公害生产技术推广到位率达</w:t>
      </w:r>
      <w:r>
        <w:rPr>
          <w:rFonts w:ascii="仿宋_GB2312" w:hAnsi="宋体" w:cs="宋体"/>
          <w:sz w:val="32"/>
          <w:szCs w:val="32"/>
        </w:rPr>
        <w:t>100%，平衡施肥技术到位率达100%，优质高效生产综合配套技术到位率100%。</w:t>
      </w:r>
      <w:r>
        <w:rPr>
          <w:rFonts w:hint="eastAsia" w:ascii="仿宋_GB2312" w:hAnsi="宋体" w:cs="宋体"/>
          <w:sz w:val="32"/>
          <w:szCs w:val="32"/>
        </w:rPr>
        <w:t>做强做优息烽蓝莓产业，助力乡村振兴。</w:t>
      </w:r>
      <w:bookmarkEnd w:id="29"/>
      <w:bookmarkStart w:id="39" w:name="_Hlk57641219"/>
      <w:r>
        <w:rPr>
          <w:rFonts w:ascii="方正小标宋简体" w:hAnsi="宋体" w:eastAsia="方正小标宋简体" w:cs="宋体"/>
          <w:color w:val="000000" w:themeColor="text1"/>
          <w:sz w:val="44"/>
          <w14:textFill>
            <w14:solidFill>
              <w14:schemeClr w14:val="tx1"/>
            </w14:solidFill>
          </w14:textFill>
        </w:rPr>
        <w:br w:type="page"/>
      </w: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40" w:name="_Toc76569944"/>
      <w:bookmarkStart w:id="41" w:name="_Toc76570165"/>
      <w:bookmarkStart w:id="42" w:name="_Toc78441339"/>
      <w:r>
        <w:rPr>
          <w:rFonts w:hint="eastAsia" w:ascii="方正小标宋简体" w:hAnsi="宋体" w:eastAsia="方正小标宋简体" w:cs="宋体"/>
          <w:color w:val="000000" w:themeColor="text1"/>
          <w:sz w:val="44"/>
          <w14:textFill>
            <w14:solidFill>
              <w14:schemeClr w14:val="tx1"/>
            </w14:solidFill>
          </w14:textFill>
        </w:rPr>
        <w:t>第四章 项目市场分析</w:t>
      </w:r>
      <w:bookmarkEnd w:id="40"/>
      <w:bookmarkEnd w:id="41"/>
      <w:bookmarkEnd w:id="42"/>
    </w:p>
    <w:p>
      <w:pPr>
        <w:spacing w:line="580" w:lineRule="exact"/>
        <w:rPr>
          <w:rFonts w:ascii="方正小标宋简体" w:eastAsia="方正小标宋简体"/>
          <w:sz w:val="44"/>
          <w:szCs w:val="44"/>
        </w:rPr>
      </w:pPr>
      <w:r>
        <w:rPr>
          <w:rFonts w:hint="eastAsia" w:ascii="方正小标宋简体" w:eastAsia="方正小标宋简体"/>
          <w:sz w:val="44"/>
          <w:szCs w:val="44"/>
        </w:rPr>
        <w:t xml:space="preserve"> </w:t>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43" w:name="_Toc76720109"/>
      <w:bookmarkStart w:id="44" w:name="_Toc78441340"/>
      <w:bookmarkStart w:id="45" w:name="_Toc76570166"/>
      <w:bookmarkStart w:id="46" w:name="_Toc76569945"/>
      <w:r>
        <w:rPr>
          <w:rFonts w:hint="eastAsia" w:ascii="黑体" w:hAnsi="黑体" w:eastAsia="黑体" w:cs="宋体"/>
          <w:color w:val="000000" w:themeColor="text1"/>
          <w:sz w:val="32"/>
          <w14:textFill>
            <w14:solidFill>
              <w14:schemeClr w14:val="tx1"/>
            </w14:solidFill>
          </w14:textFill>
        </w:rPr>
        <w:t>一、市场现状</w:t>
      </w:r>
      <w:bookmarkEnd w:id="43"/>
      <w:bookmarkEnd w:id="44"/>
    </w:p>
    <w:p>
      <w:pPr>
        <w:keepNext/>
        <w:keepLines/>
        <w:spacing w:line="580" w:lineRule="exact"/>
        <w:ind w:firstLine="643" w:firstLineChars="200"/>
        <w:outlineLvl w:val="1"/>
        <w:rPr>
          <w:rFonts w:ascii="楷体" w:hAnsi="楷体" w:eastAsia="楷体" w:cs="宋体"/>
          <w:b/>
          <w:bCs/>
          <w:color w:val="000000"/>
          <w:sz w:val="32"/>
          <w:szCs w:val="32"/>
        </w:rPr>
      </w:pPr>
      <w:bookmarkStart w:id="47" w:name="_Toc76720110"/>
      <w:bookmarkStart w:id="48" w:name="_Toc78441341"/>
      <w:r>
        <w:rPr>
          <w:rFonts w:hint="eastAsia" w:ascii="楷体" w:hAnsi="楷体" w:eastAsia="楷体" w:cs="宋体"/>
          <w:b/>
          <w:bCs/>
          <w:color w:val="000000"/>
          <w:sz w:val="32"/>
          <w:szCs w:val="32"/>
        </w:rPr>
        <w:t>（一）</w:t>
      </w:r>
      <w:bookmarkEnd w:id="47"/>
      <w:r>
        <w:rPr>
          <w:rFonts w:hint="eastAsia" w:ascii="楷体" w:hAnsi="楷体" w:eastAsia="楷体" w:cs="宋体"/>
          <w:b/>
          <w:bCs/>
          <w:color w:val="000000"/>
          <w:sz w:val="32"/>
          <w:szCs w:val="32"/>
        </w:rPr>
        <w:t>中国蓝莓产业现状</w:t>
      </w:r>
      <w:bookmarkEnd w:id="48"/>
    </w:p>
    <w:p>
      <w:pPr>
        <w:snapToGrid w:val="0"/>
        <w:spacing w:line="580" w:lineRule="exact"/>
        <w:ind w:firstLine="643" w:firstLineChars="200"/>
        <w:rPr>
          <w:rFonts w:ascii="仿宋_GB2312" w:hAnsi="Times New Roman" w:cs="Times New Roman"/>
          <w:bCs/>
          <w:sz w:val="32"/>
          <w:szCs w:val="32"/>
        </w:rPr>
      </w:pPr>
      <w:r>
        <w:rPr>
          <w:rFonts w:hint="eastAsia" w:ascii="仿宋_GB2312" w:hAnsi="Times New Roman" w:cs="Times New Roman"/>
          <w:b/>
          <w:sz w:val="32"/>
          <w:szCs w:val="32"/>
        </w:rPr>
        <w:t>中国蓝莓产业化种植快速发展，栽培面积持续扩大。</w:t>
      </w:r>
      <w:r>
        <w:rPr>
          <w:rFonts w:hint="eastAsia" w:ascii="仿宋_GB2312" w:hAnsi="Times New Roman" w:cs="Times New Roman"/>
          <w:bCs/>
          <w:sz w:val="32"/>
          <w:szCs w:val="32"/>
        </w:rPr>
        <w:t>我国有着丰富的蓝莓野生资源，东北、西南、华南各地均有野生种群的分布，其中黑龙江大小兴安岭和吉林长白山地区产量最多，约占全国野生资源的</w:t>
      </w:r>
      <w:r>
        <w:rPr>
          <w:rFonts w:ascii="仿宋_GB2312" w:hAnsi="Times New Roman" w:cs="Times New Roman"/>
          <w:bCs/>
          <w:sz w:val="32"/>
          <w:szCs w:val="32"/>
        </w:rPr>
        <w:t>90%，占世界的30%。由于野生蓝莓存在采摘困难（皆为人工采收）、采收成本高、采收量不稳定等问题，我国大力推进蓝莓产业化种植。我国的蓝莓产业化种植开始于1999年，吉林农业大学与日本的环球贸易公司合作，率先在我国开展了蓝莓的产业化生产栽培工作。2000年开始，相继在辽宁、山东、黑龙江、北京、江苏、浙江、四川等地引种试栽。2004年在</w:t>
      </w:r>
      <w:r>
        <w:rPr>
          <w:rFonts w:hint="eastAsia" w:ascii="仿宋_GB2312" w:hAnsi="Times New Roman" w:cs="Times New Roman"/>
          <w:bCs/>
          <w:sz w:val="32"/>
          <w:szCs w:val="32"/>
        </w:rPr>
        <w:t>吉林、辽宁和山东省发展</w:t>
      </w:r>
      <w:r>
        <w:rPr>
          <w:rFonts w:ascii="仿宋_GB2312" w:hAnsi="Times New Roman" w:cs="Times New Roman"/>
          <w:bCs/>
          <w:sz w:val="32"/>
          <w:szCs w:val="32"/>
        </w:rPr>
        <w:t>300公顷，总产量300吨，产品80%出口日本。到2006年为止，国内种植已经遍布全国各个省市，总面积已近千公顷。近年来，我国加快蓝莓产业化种植发展，种植面积不断扩大。数据显示，2020年中国蓝莓栽培面积为6.64万公顷，较2019年同比增长10.1%</w:t>
      </w:r>
      <w:r>
        <w:rPr>
          <w:rFonts w:hint="eastAsia" w:ascii="仿宋_GB2312" w:hAnsi="Times New Roman" w:cs="Times New Roman"/>
          <w:bCs/>
          <w:sz w:val="32"/>
          <w:szCs w:val="32"/>
        </w:rPr>
        <w:t>。</w:t>
      </w:r>
    </w:p>
    <w:p>
      <w:pPr>
        <w:widowControl/>
        <w:jc w:val="left"/>
        <w:rPr>
          <w:rFonts w:ascii="Times New Roman" w:hAnsi="Times New Roman" w:cs="Times New Roman"/>
          <w:bCs/>
          <w:sz w:val="32"/>
          <w:szCs w:val="32"/>
        </w:rPr>
      </w:pPr>
      <w:r>
        <w:rPr>
          <w:rFonts w:ascii="Times New Roman" w:hAnsi="Times New Roman" w:cs="Times New Roman"/>
          <w:bCs/>
          <w:sz w:val="32"/>
          <w:szCs w:val="32"/>
        </w:rPr>
        <w:br w:type="page"/>
      </w:r>
    </w:p>
    <w:p>
      <w:pPr>
        <w:pStyle w:val="4"/>
        <w:spacing w:line="580" w:lineRule="exact"/>
        <w:ind w:firstLine="400"/>
        <w:jc w:val="center"/>
        <w:rPr>
          <w:rFonts w:ascii="仿宋_GB2312" w:hAnsi="Times New Roman" w:eastAsia="仿宋_GB2312" w:cs="Times New Roman"/>
          <w:b/>
          <w:bCs/>
          <w:sz w:val="28"/>
          <w:szCs w:val="28"/>
        </w:rPr>
      </w:pPr>
      <w:r>
        <w:drawing>
          <wp:anchor distT="0" distB="0" distL="114300" distR="114300" simplePos="0" relativeHeight="251659264" behindDoc="0" locked="0" layoutInCell="1" allowOverlap="1">
            <wp:simplePos x="0" y="0"/>
            <wp:positionH relativeFrom="margin">
              <wp:align>center</wp:align>
            </wp:positionH>
            <wp:positionV relativeFrom="paragraph">
              <wp:posOffset>419100</wp:posOffset>
            </wp:positionV>
            <wp:extent cx="4991100" cy="2686050"/>
            <wp:effectExtent l="0" t="0" r="0" b="0"/>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Times New Roman" w:hAnsi="Times New Roman" w:eastAsia="仿宋_GB2312" w:cs="Times New Roman"/>
          <w:b/>
          <w:bCs/>
          <w:sz w:val="28"/>
          <w:szCs w:val="28"/>
        </w:rPr>
        <w:t>图</w:t>
      </w:r>
      <w:r>
        <w:rPr>
          <w:rFonts w:hint="eastAsia" w:ascii="仿宋_GB2312" w:hAnsi="Times New Roman" w:eastAsia="仿宋_GB2312" w:cs="Times New Roman"/>
          <w:b/>
          <w:bCs/>
          <w:sz w:val="28"/>
          <w:szCs w:val="28"/>
        </w:rPr>
        <w:t xml:space="preserve">表 </w:t>
      </w:r>
      <w:r>
        <w:rPr>
          <w:rFonts w:ascii="仿宋_GB2312" w:hAnsi="Times New Roman" w:eastAsia="仿宋_GB2312" w:cs="Times New Roman"/>
          <w:b/>
          <w:bCs/>
          <w:sz w:val="28"/>
          <w:szCs w:val="28"/>
        </w:rPr>
        <w:t>5</w:t>
      </w:r>
      <w:r>
        <w:rPr>
          <w:rFonts w:hint="eastAsia" w:ascii="仿宋_GB2312" w:hAnsi="Times New Roman" w:eastAsia="仿宋_GB2312" w:cs="Times New Roman"/>
          <w:b/>
          <w:bCs/>
          <w:sz w:val="28"/>
          <w:szCs w:val="28"/>
        </w:rPr>
        <w:t xml:space="preserve">  2016-2020年</w:t>
      </w:r>
      <w:bookmarkStart w:id="49" w:name="_Hlk76389107"/>
      <w:r>
        <w:rPr>
          <w:rFonts w:hint="eastAsia" w:ascii="仿宋_GB2312" w:hAnsi="Times New Roman" w:eastAsia="仿宋_GB2312" w:cs="Times New Roman"/>
          <w:b/>
          <w:bCs/>
          <w:sz w:val="28"/>
          <w:szCs w:val="28"/>
        </w:rPr>
        <w:t>中国蓝莓种植面积变化趋势图</w:t>
      </w:r>
      <w:bookmarkEnd w:id="49"/>
    </w:p>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spacing w:line="580" w:lineRule="exact"/>
        <w:ind w:firstLine="643" w:firstLineChars="200"/>
        <w:rPr>
          <w:rFonts w:ascii="仿宋_GB2312" w:hAnsi="Times New Roman" w:cs="Times New Roman"/>
          <w:sz w:val="32"/>
          <w:szCs w:val="32"/>
        </w:rPr>
      </w:pPr>
      <w:r>
        <w:rPr>
          <w:rFonts w:hint="eastAsia" w:ascii="仿宋_GB2312" w:hAnsi="Times New Roman" w:cs="Times New Roman"/>
          <w:b/>
          <w:bCs/>
          <w:sz w:val="32"/>
          <w:szCs w:val="32"/>
        </w:rPr>
        <w:t>贵州、辽宁、山东蓝莓种植面积超7000公顷。</w:t>
      </w:r>
      <w:r>
        <w:rPr>
          <w:rFonts w:hint="eastAsia" w:ascii="仿宋_GB2312" w:hAnsi="Times New Roman" w:cs="Times New Roman"/>
          <w:sz w:val="32"/>
          <w:szCs w:val="32"/>
        </w:rPr>
        <w:t>中国是当前全球58个蓝莓生产国中的主要贡献国之一，蓝莓商业化栽培始于2000年，发展至今仅20年的时间，范围遍布全国从南到北、从东到西的27个省、直辖市、自治区。其中，贵州省、辽宁省、山东省等地蓝莓规模化种植最早，同时也是目前中国蓝莓栽培面积和产量排名前列的省份。从栽培面积来看，截至2020年底，全国蓝莓种植面积前五的省份依次为贵州省、辽宁省、山东省、四川省、安徽省，贵州、辽宁、山东三地蓝莓种植面积超7000公顷。其中，贵州省蓝莓种植面积全国第一。</w:t>
      </w:r>
    </w:p>
    <w:p>
      <w:pPr>
        <w:pStyle w:val="4"/>
        <w:spacing w:line="580" w:lineRule="exact"/>
        <w:ind w:firstLine="400"/>
        <w:jc w:val="center"/>
        <w:rPr>
          <w:rFonts w:ascii="仿宋_GB2312" w:hAnsi="Times New Roman" w:eastAsia="仿宋_GB2312" w:cs="Times New Roman"/>
          <w:b/>
          <w:bCs/>
          <w:sz w:val="28"/>
          <w:szCs w:val="28"/>
        </w:rPr>
      </w:pPr>
      <w:r>
        <w:drawing>
          <wp:anchor distT="0" distB="0" distL="114300" distR="114300" simplePos="0" relativeHeight="251661312" behindDoc="0" locked="0" layoutInCell="1" allowOverlap="1">
            <wp:simplePos x="0" y="0"/>
            <wp:positionH relativeFrom="page">
              <wp:align>center</wp:align>
            </wp:positionH>
            <wp:positionV relativeFrom="paragraph">
              <wp:posOffset>399415</wp:posOffset>
            </wp:positionV>
            <wp:extent cx="4939665" cy="2700655"/>
            <wp:effectExtent l="0" t="0" r="13335" b="44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_GB2312" w:hAnsi="Times New Roman" w:eastAsia="仿宋_GB2312" w:cs="Times New Roman"/>
          <w:b/>
          <w:bCs/>
          <w:sz w:val="28"/>
          <w:szCs w:val="28"/>
        </w:rPr>
        <w:t xml:space="preserve">图表 </w:t>
      </w:r>
      <w:r>
        <w:rPr>
          <w:rFonts w:ascii="仿宋_GB2312" w:hAnsi="Times New Roman" w:eastAsia="仿宋_GB2312" w:cs="Times New Roman"/>
          <w:b/>
          <w:bCs/>
          <w:sz w:val="28"/>
          <w:szCs w:val="28"/>
        </w:rPr>
        <w:t>6</w:t>
      </w:r>
      <w:r>
        <w:rPr>
          <w:rFonts w:hint="eastAsia" w:ascii="仿宋_GB2312" w:hAnsi="Times New Roman" w:eastAsia="仿宋_GB2312" w:cs="Times New Roman"/>
          <w:b/>
          <w:bCs/>
          <w:sz w:val="28"/>
          <w:szCs w:val="28"/>
        </w:rPr>
        <w:t xml:space="preserve">  2020年中国蓝莓种植面积分布情况</w:t>
      </w:r>
    </w:p>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spacing w:line="580" w:lineRule="exact"/>
        <w:ind w:firstLine="643" w:firstLineChars="200"/>
        <w:rPr>
          <w:rFonts w:ascii="仿宋_GB2312" w:hAnsi="Times New Roman" w:cs="Times New Roman"/>
          <w:sz w:val="32"/>
          <w:szCs w:val="32"/>
        </w:rPr>
      </w:pPr>
      <w:r>
        <w:rPr>
          <w:rFonts w:hint="eastAsia" w:ascii="仿宋_GB2312" w:hAnsi="Times New Roman" w:cs="Times New Roman"/>
          <w:b/>
          <w:bCs/>
          <w:sz w:val="32"/>
          <w:szCs w:val="32"/>
        </w:rPr>
        <w:t>中国蓝莓产量保持增长，贵州省产量全国第一。</w:t>
      </w:r>
      <w:r>
        <w:rPr>
          <w:rFonts w:hint="eastAsia" w:ascii="仿宋_GB2312" w:hAnsi="Times New Roman" w:cs="Times New Roman"/>
          <w:sz w:val="32"/>
          <w:szCs w:val="32"/>
        </w:rPr>
        <w:t>截至2020年底，全国蓝莓总产量为34.72万吨，较2019年同比增长63.9%，鲜果产量为23.47万吨。从产区分布来看，2020年蓝莓产量前五的省市依次为贵州省、四川省、安徽省、辽宁省、山东省。其中，贵州省蓝莓产量排名第一，大幅领先其他产区。由于各产区蓝莓的栽培品种与生产目不同，鲜果比例差异较大。贵州省以兔眼品种为主，鲜果比例只有30%；四川省和安徽省近几年以加工为目标的“蓝美1号”快速发展，鲜果比例为60%；而山东、辽宁和云南几乎全部为鲜果产出。</w:t>
      </w:r>
    </w:p>
    <w:p>
      <w:pPr>
        <w:pStyle w:val="4"/>
        <w:spacing w:line="580" w:lineRule="exact"/>
        <w:ind w:firstLine="400"/>
        <w:jc w:val="center"/>
        <w:rPr>
          <w:rFonts w:ascii="Times New Roman" w:hAnsi="Times New Roman" w:eastAsia="仿宋_GB2312" w:cs="Times New Roman"/>
          <w:b/>
          <w:bCs/>
          <w:sz w:val="28"/>
          <w:szCs w:val="28"/>
        </w:rPr>
      </w:pPr>
      <w:r>
        <w:rPr>
          <w:rFonts w:hint="eastAsia" w:ascii="仿宋_GB2312" w:eastAsia="仿宋_GB2312"/>
        </w:rPr>
        <w:drawing>
          <wp:anchor distT="0" distB="0" distL="114300" distR="114300" simplePos="0" relativeHeight="251662336" behindDoc="0" locked="0" layoutInCell="1" allowOverlap="1">
            <wp:simplePos x="0" y="0"/>
            <wp:positionH relativeFrom="page">
              <wp:align>center</wp:align>
            </wp:positionH>
            <wp:positionV relativeFrom="paragraph">
              <wp:posOffset>421640</wp:posOffset>
            </wp:positionV>
            <wp:extent cx="4893945" cy="2669540"/>
            <wp:effectExtent l="0" t="0" r="1905" b="16510"/>
            <wp:wrapTopAndBottom/>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仿宋_GB2312" w:hAnsi="Times New Roman" w:eastAsia="仿宋_GB2312" w:cs="Times New Roman"/>
          <w:b/>
          <w:bCs/>
          <w:sz w:val="28"/>
          <w:szCs w:val="28"/>
        </w:rPr>
        <w:t xml:space="preserve">图表 </w:t>
      </w:r>
      <w:r>
        <w:rPr>
          <w:rFonts w:ascii="仿宋_GB2312" w:hAnsi="Times New Roman" w:eastAsia="仿宋_GB2312" w:cs="Times New Roman"/>
          <w:b/>
          <w:bCs/>
          <w:sz w:val="28"/>
          <w:szCs w:val="28"/>
        </w:rPr>
        <w:t>7</w:t>
      </w:r>
      <w:r>
        <w:rPr>
          <w:rFonts w:hint="eastAsia" w:ascii="仿宋_GB2312" w:hAnsi="Times New Roman" w:eastAsia="仿宋_GB2312" w:cs="Times New Roman"/>
          <w:b/>
          <w:bCs/>
          <w:sz w:val="28"/>
          <w:szCs w:val="28"/>
        </w:rPr>
        <w:t xml:space="preserve">  2016-2020年中国蓝</w:t>
      </w:r>
      <w:r>
        <w:rPr>
          <w:rFonts w:hint="eastAsia" w:ascii="Times New Roman" w:hAnsi="Times New Roman" w:eastAsia="仿宋_GB2312" w:cs="Times New Roman"/>
          <w:b/>
          <w:bCs/>
          <w:sz w:val="28"/>
          <w:szCs w:val="28"/>
        </w:rPr>
        <w:t>莓产量变化趋势图</w:t>
      </w:r>
    </w:p>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pStyle w:val="4"/>
        <w:spacing w:line="580" w:lineRule="exact"/>
        <w:ind w:firstLine="400"/>
        <w:jc w:val="center"/>
        <w:rPr>
          <w:rFonts w:ascii="Times New Roman" w:hAnsi="Times New Roman" w:eastAsia="仿宋_GB2312" w:cs="Times New Roman"/>
          <w:b/>
          <w:bCs/>
          <w:sz w:val="28"/>
          <w:szCs w:val="28"/>
        </w:rPr>
      </w:pPr>
      <w:r>
        <w:drawing>
          <wp:anchor distT="0" distB="0" distL="114300" distR="114300" simplePos="0" relativeHeight="251663360" behindDoc="0" locked="0" layoutInCell="1" allowOverlap="1">
            <wp:simplePos x="0" y="0"/>
            <wp:positionH relativeFrom="margin">
              <wp:posOffset>304800</wp:posOffset>
            </wp:positionH>
            <wp:positionV relativeFrom="paragraph">
              <wp:posOffset>393065</wp:posOffset>
            </wp:positionV>
            <wp:extent cx="4939030" cy="2732405"/>
            <wp:effectExtent l="0" t="0" r="13970" b="10795"/>
            <wp:wrapTopAndBottom/>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hAnsi="Times New Roman" w:eastAsia="仿宋_GB2312" w:cs="Times New Roman"/>
          <w:b/>
          <w:bCs/>
          <w:sz w:val="28"/>
          <w:szCs w:val="28"/>
        </w:rPr>
        <w:t>图</w:t>
      </w:r>
      <w:r>
        <w:rPr>
          <w:rFonts w:hint="eastAsia" w:ascii="仿宋_GB2312" w:hAnsi="Times New Roman" w:eastAsia="仿宋_GB2312" w:cs="Times New Roman"/>
          <w:b/>
          <w:bCs/>
          <w:sz w:val="28"/>
          <w:szCs w:val="28"/>
        </w:rPr>
        <w:t xml:space="preserve">表 </w:t>
      </w:r>
      <w:r>
        <w:rPr>
          <w:rFonts w:ascii="仿宋_GB2312" w:hAnsi="Times New Roman" w:eastAsia="仿宋_GB2312" w:cs="Times New Roman"/>
          <w:b/>
          <w:bCs/>
          <w:sz w:val="28"/>
          <w:szCs w:val="28"/>
        </w:rPr>
        <w:t>8</w:t>
      </w:r>
      <w:r>
        <w:rPr>
          <w:rFonts w:hint="eastAsia" w:ascii="仿宋_GB2312" w:hAnsi="Times New Roman" w:eastAsia="仿宋_GB2312" w:cs="Times New Roman"/>
          <w:b/>
          <w:bCs/>
          <w:sz w:val="28"/>
          <w:szCs w:val="28"/>
        </w:rPr>
        <w:t xml:space="preserve">  2020年中</w:t>
      </w:r>
      <w:r>
        <w:rPr>
          <w:rFonts w:hint="eastAsia" w:ascii="Times New Roman" w:hAnsi="Times New Roman" w:eastAsia="仿宋_GB2312" w:cs="Times New Roman"/>
          <w:b/>
          <w:bCs/>
          <w:sz w:val="28"/>
          <w:szCs w:val="28"/>
        </w:rPr>
        <w:t>国蓝莓产量分布情况</w:t>
      </w:r>
    </w:p>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spacing w:line="580" w:lineRule="exact"/>
        <w:ind w:firstLine="643" w:firstLineChars="200"/>
        <w:rPr>
          <w:rFonts w:ascii="仿宋_GB2312" w:hAnsi="Times New Roman" w:cs="Times New Roman"/>
          <w:sz w:val="32"/>
          <w:szCs w:val="32"/>
        </w:rPr>
      </w:pPr>
      <w:r>
        <w:rPr>
          <w:rFonts w:hint="eastAsia" w:ascii="仿宋_GB2312" w:hAnsi="Times New Roman" w:cs="Times New Roman"/>
          <w:b/>
          <w:bCs/>
          <w:sz w:val="32"/>
          <w:szCs w:val="32"/>
        </w:rPr>
        <w:t>日光温室和冷棚栽培模式实现优质早熟果供应。</w:t>
      </w:r>
      <w:r>
        <w:rPr>
          <w:rFonts w:hint="eastAsia" w:ascii="仿宋_GB2312" w:hAnsi="Times New Roman" w:cs="Times New Roman"/>
          <w:sz w:val="32"/>
          <w:szCs w:val="32"/>
        </w:rPr>
        <w:t>我国早熟蓝莓以其鲜果商品率高和市场价格高等优势在全年市场供应上具有极其重要的地位，日光温室和冷棚栽培两种设施栽培模式是实现早熟果供应的重要种植方式。据统计，到2020年底全国日光温室栽培面积为2010公顷，产量达15185吨。其中，辽宁省位居第一，栽培面积和产量分别占全国的63.0%和56.6%；山东省位列第二，面积和产量分别占全国的27.0%和32.0%；江苏省位列第三位，面积和产量分别占全国的6.6%和6.5%。全国冷棚栽培面积为705公顷，产量达7510吨。其中，山东省位居全国第一，产量和面积分别占全国的71.0%和66.6%；辽宁省居第二，面积和产量别占全国的17.7%和20.0%。</w:t>
      </w:r>
    </w:p>
    <w:p>
      <w:pPr>
        <w:pStyle w:val="4"/>
        <w:spacing w:line="580" w:lineRule="exact"/>
        <w:ind w:firstLine="562"/>
        <w:jc w:val="center"/>
        <w:rPr>
          <w:rFonts w:ascii="仿宋_GB2312" w:hAnsi="Times New Roman" w:eastAsia="仿宋_GB2312" w:cs="Times New Roman"/>
          <w:b/>
          <w:bCs/>
          <w:sz w:val="28"/>
          <w:szCs w:val="28"/>
        </w:rPr>
      </w:pPr>
      <w:r>
        <w:rPr>
          <w:rFonts w:hint="eastAsia" w:ascii="仿宋_GB2312" w:hAnsi="Times New Roman" w:eastAsia="仿宋_GB2312" w:cs="Times New Roman"/>
          <w:b/>
          <w:bCs/>
          <w:sz w:val="28"/>
          <w:szCs w:val="28"/>
        </w:rPr>
        <w:t xml:space="preserve">图表 </w:t>
      </w:r>
      <w:r>
        <w:rPr>
          <w:rFonts w:ascii="仿宋_GB2312" w:hAnsi="Times New Roman" w:eastAsia="仿宋_GB2312" w:cs="Times New Roman"/>
          <w:b/>
          <w:bCs/>
          <w:sz w:val="28"/>
          <w:szCs w:val="28"/>
        </w:rPr>
        <w:t>9</w:t>
      </w:r>
      <w:r>
        <w:rPr>
          <w:rFonts w:hint="eastAsia" w:ascii="仿宋_GB2312" w:hAnsi="Times New Roman" w:eastAsia="仿宋_GB2312" w:cs="Times New Roman"/>
          <w:b/>
          <w:bCs/>
          <w:sz w:val="28"/>
          <w:szCs w:val="28"/>
        </w:rPr>
        <w:t xml:space="preserve">  2020年中国蓝莓日光温室和冷棚栽培模式种植情况</w:t>
      </w:r>
    </w:p>
    <w:tbl>
      <w:tblPr>
        <w:tblStyle w:val="15"/>
        <w:tblW w:w="5000" w:type="pct"/>
        <w:jc w:val="center"/>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1157"/>
        <w:gridCol w:w="2182"/>
        <w:gridCol w:w="1745"/>
        <w:gridCol w:w="2084"/>
        <w:gridCol w:w="1892"/>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638" w:type="pct"/>
            <w:vMerge w:val="restart"/>
            <w:tcBorders>
              <w:top w:val="single" w:color="4472C4" w:themeColor="accent1" w:sz="4" w:space="0"/>
              <w:left w:val="single" w:color="4472C4" w:themeColor="accent1" w:sz="4" w:space="0"/>
              <w:bottom w:val="single" w:color="FFFFFF" w:themeColor="background1" w:sz="4" w:space="0"/>
              <w:right w:val="single" w:color="FFFFFF" w:themeColor="background1" w:sz="4" w:space="0"/>
            </w:tcBorders>
            <w:shd w:val="clear" w:color="auto" w:fill="4472C4" w:themeFill="accent1"/>
            <w:noWrap/>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p>
        </w:tc>
        <w:tc>
          <w:tcPr>
            <w:tcW w:w="2167" w:type="pct"/>
            <w:gridSpan w:val="2"/>
            <w:tcBorders>
              <w:top w:val="single" w:color="4472C4" w:themeColor="accent1" w:sz="4" w:space="0"/>
              <w:left w:val="single" w:color="FFFFFF" w:themeColor="background1" w:sz="4" w:space="0"/>
              <w:bottom w:val="single" w:color="FFFFFF" w:themeColor="background1" w:sz="4" w:space="0"/>
              <w:right w:val="single" w:color="FFFFFF" w:themeColor="background1" w:sz="4" w:space="0"/>
            </w:tcBorders>
            <w:shd w:val="clear" w:color="auto" w:fill="4472C4" w:themeFill="accent1"/>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日光温室栽培</w:t>
            </w:r>
          </w:p>
        </w:tc>
        <w:tc>
          <w:tcPr>
            <w:tcW w:w="2194" w:type="pct"/>
            <w:gridSpan w:val="2"/>
            <w:tcBorders>
              <w:top w:val="single" w:color="4472C4" w:themeColor="accent1" w:sz="4" w:space="0"/>
              <w:left w:val="single" w:color="FFFFFF" w:themeColor="background1" w:sz="4" w:space="0"/>
              <w:bottom w:val="single" w:color="FFFFFF" w:themeColor="background1" w:sz="4" w:space="0"/>
              <w:right w:val="single" w:color="4472C4" w:themeColor="accent1" w:sz="4" w:space="0"/>
            </w:tcBorders>
            <w:shd w:val="clear" w:color="auto" w:fill="4472C4" w:themeFill="accent1"/>
            <w:noWrap/>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冷棚栽培</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638" w:type="pct"/>
            <w:vMerge w:val="continue"/>
            <w:tcBorders>
              <w:top w:val="single" w:color="FFFFFF" w:themeColor="background1" w:sz="4" w:space="0"/>
              <w:left w:val="single" w:color="4472C4" w:themeColor="accent1" w:sz="4" w:space="0"/>
              <w:bottom w:val="single" w:color="4472C4" w:themeColor="accent1" w:sz="4" w:space="0"/>
              <w:right w:val="single" w:color="FFFFFF" w:themeColor="background1" w:sz="4" w:space="0"/>
            </w:tcBorders>
            <w:shd w:val="clear" w:color="auto" w:fill="4472C4" w:themeFill="accent1"/>
            <w:noWrap/>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p>
        </w:tc>
        <w:tc>
          <w:tcPr>
            <w:tcW w:w="1204" w:type="pct"/>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面积（公顷）</w:t>
            </w:r>
          </w:p>
        </w:tc>
        <w:tc>
          <w:tcPr>
            <w:tcW w:w="963" w:type="pct"/>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产量（吨）</w:t>
            </w:r>
          </w:p>
        </w:tc>
        <w:tc>
          <w:tcPr>
            <w:tcW w:w="1150" w:type="pct"/>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noWrap/>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面积（公顷）</w:t>
            </w:r>
          </w:p>
        </w:tc>
        <w:tc>
          <w:tcPr>
            <w:tcW w:w="1044" w:type="pct"/>
            <w:tcBorders>
              <w:top w:val="single" w:color="FFFFFF" w:themeColor="background1" w:sz="4" w:space="0"/>
              <w:left w:val="single" w:color="FFFFFF" w:themeColor="background1" w:sz="4" w:space="0"/>
              <w:bottom w:val="single" w:color="4472C4" w:themeColor="accent1" w:sz="4" w:space="0"/>
              <w:right w:val="single" w:color="4472C4" w:themeColor="accent1" w:sz="4" w:space="0"/>
            </w:tcBorders>
            <w:shd w:val="clear" w:color="auto" w:fill="4472C4" w:themeFill="accent1"/>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产量（吨）</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638" w:type="pct"/>
            <w:tcBorders>
              <w:top w:val="single" w:color="4472C4" w:themeColor="accent1" w:sz="4" w:space="0"/>
            </w:tcBorders>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全国</w:t>
            </w:r>
          </w:p>
        </w:tc>
        <w:tc>
          <w:tcPr>
            <w:tcW w:w="1204" w:type="pct"/>
            <w:tcBorders>
              <w:top w:val="single" w:color="4472C4" w:themeColor="accent1" w:sz="4" w:space="0"/>
            </w:tcBorders>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2</w:t>
            </w:r>
            <w:r>
              <w:rPr>
                <w:rFonts w:ascii="仿宋_GB2312" w:hAnsi="Times New Roman" w:cs="Times New Roman"/>
                <w:kern w:val="0"/>
                <w:szCs w:val="28"/>
              </w:rPr>
              <w:t>010</w:t>
            </w:r>
          </w:p>
        </w:tc>
        <w:tc>
          <w:tcPr>
            <w:tcW w:w="963" w:type="pct"/>
            <w:tcBorders>
              <w:top w:val="single" w:color="4472C4" w:themeColor="accent1" w:sz="4" w:space="0"/>
            </w:tcBorders>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r>
              <w:rPr>
                <w:rFonts w:ascii="仿宋_GB2312" w:hAnsi="Times New Roman" w:cs="Times New Roman"/>
                <w:kern w:val="0"/>
                <w:szCs w:val="28"/>
              </w:rPr>
              <w:t>5185</w:t>
            </w:r>
          </w:p>
        </w:tc>
        <w:tc>
          <w:tcPr>
            <w:tcW w:w="1150" w:type="pct"/>
            <w:tcBorders>
              <w:top w:val="single" w:color="4472C4" w:themeColor="accent1" w:sz="4" w:space="0"/>
            </w:tcBorders>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7</w:t>
            </w:r>
            <w:r>
              <w:rPr>
                <w:rFonts w:ascii="仿宋_GB2312" w:hAnsi="Times New Roman" w:cs="Times New Roman"/>
                <w:kern w:val="0"/>
                <w:szCs w:val="28"/>
              </w:rPr>
              <w:t>05</w:t>
            </w:r>
          </w:p>
        </w:tc>
        <w:tc>
          <w:tcPr>
            <w:tcW w:w="1044" w:type="pct"/>
            <w:tcBorders>
              <w:top w:val="single" w:color="4472C4" w:themeColor="accent1" w:sz="4" w:space="0"/>
            </w:tcBorders>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7</w:t>
            </w:r>
            <w:r>
              <w:rPr>
                <w:rFonts w:ascii="仿宋_GB2312" w:hAnsi="Times New Roman" w:cs="Times New Roman"/>
                <w:kern w:val="0"/>
                <w:szCs w:val="28"/>
              </w:rPr>
              <w:t>510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638"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山东</w:t>
            </w:r>
          </w:p>
        </w:tc>
        <w:tc>
          <w:tcPr>
            <w:tcW w:w="1204"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5</w:t>
            </w:r>
            <w:r>
              <w:rPr>
                <w:rFonts w:ascii="仿宋_GB2312" w:hAnsi="Times New Roman" w:cs="Times New Roman"/>
                <w:kern w:val="0"/>
                <w:szCs w:val="28"/>
              </w:rPr>
              <w:t>42.7</w:t>
            </w:r>
          </w:p>
        </w:tc>
        <w:tc>
          <w:tcPr>
            <w:tcW w:w="963"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4</w:t>
            </w:r>
            <w:r>
              <w:rPr>
                <w:rFonts w:ascii="仿宋_GB2312" w:hAnsi="Times New Roman" w:cs="Times New Roman"/>
                <w:kern w:val="0"/>
                <w:szCs w:val="28"/>
              </w:rPr>
              <w:t>859.2</w:t>
            </w:r>
          </w:p>
        </w:tc>
        <w:tc>
          <w:tcPr>
            <w:tcW w:w="1150"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5</w:t>
            </w:r>
            <w:r>
              <w:rPr>
                <w:rFonts w:ascii="仿宋_GB2312" w:hAnsi="Times New Roman" w:cs="Times New Roman"/>
                <w:kern w:val="0"/>
                <w:szCs w:val="28"/>
              </w:rPr>
              <w:t>00.55</w:t>
            </w:r>
          </w:p>
        </w:tc>
        <w:tc>
          <w:tcPr>
            <w:tcW w:w="1044"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5</w:t>
            </w:r>
            <w:r>
              <w:rPr>
                <w:rFonts w:ascii="仿宋_GB2312" w:hAnsi="Times New Roman" w:cs="Times New Roman"/>
                <w:kern w:val="0"/>
                <w:szCs w:val="28"/>
              </w:rPr>
              <w:t>001.66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638"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辽宁</w:t>
            </w:r>
          </w:p>
        </w:tc>
        <w:tc>
          <w:tcPr>
            <w:tcW w:w="1204"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r>
              <w:rPr>
                <w:rFonts w:ascii="仿宋_GB2312" w:hAnsi="Times New Roman" w:cs="Times New Roman"/>
                <w:kern w:val="0"/>
                <w:szCs w:val="28"/>
              </w:rPr>
              <w:t>266.3</w:t>
            </w:r>
          </w:p>
        </w:tc>
        <w:tc>
          <w:tcPr>
            <w:tcW w:w="963"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8</w:t>
            </w:r>
            <w:r>
              <w:rPr>
                <w:rFonts w:ascii="仿宋_GB2312" w:hAnsi="Times New Roman" w:cs="Times New Roman"/>
                <w:kern w:val="0"/>
                <w:szCs w:val="28"/>
              </w:rPr>
              <w:t>594.71</w:t>
            </w:r>
          </w:p>
        </w:tc>
        <w:tc>
          <w:tcPr>
            <w:tcW w:w="1150"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r>
              <w:rPr>
                <w:rFonts w:ascii="仿宋_GB2312" w:hAnsi="Times New Roman" w:cs="Times New Roman"/>
                <w:kern w:val="0"/>
                <w:szCs w:val="28"/>
              </w:rPr>
              <w:t>24.785</w:t>
            </w:r>
          </w:p>
        </w:tc>
        <w:tc>
          <w:tcPr>
            <w:tcW w:w="1044"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r>
              <w:rPr>
                <w:rFonts w:ascii="仿宋_GB2312" w:hAnsi="Times New Roman" w:cs="Times New Roman"/>
                <w:kern w:val="0"/>
                <w:szCs w:val="28"/>
              </w:rPr>
              <w:t>502</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638"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其他</w:t>
            </w:r>
          </w:p>
        </w:tc>
        <w:tc>
          <w:tcPr>
            <w:tcW w:w="1204"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2</w:t>
            </w:r>
            <w:r>
              <w:rPr>
                <w:rFonts w:ascii="仿宋_GB2312" w:hAnsi="Times New Roman" w:cs="Times New Roman"/>
                <w:kern w:val="0"/>
                <w:szCs w:val="28"/>
              </w:rPr>
              <w:t>01</w:t>
            </w:r>
          </w:p>
        </w:tc>
        <w:tc>
          <w:tcPr>
            <w:tcW w:w="963"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r>
              <w:rPr>
                <w:rFonts w:ascii="仿宋_GB2312" w:hAnsi="Times New Roman" w:cs="Times New Roman"/>
                <w:kern w:val="0"/>
                <w:szCs w:val="28"/>
              </w:rPr>
              <w:t>731.09</w:t>
            </w:r>
          </w:p>
        </w:tc>
        <w:tc>
          <w:tcPr>
            <w:tcW w:w="1150"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7</w:t>
            </w:r>
            <w:r>
              <w:rPr>
                <w:rFonts w:ascii="仿宋_GB2312" w:hAnsi="Times New Roman" w:cs="Times New Roman"/>
                <w:kern w:val="0"/>
                <w:szCs w:val="28"/>
              </w:rPr>
              <w:t>9.665</w:t>
            </w:r>
          </w:p>
        </w:tc>
        <w:tc>
          <w:tcPr>
            <w:tcW w:w="1044"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r>
              <w:rPr>
                <w:rFonts w:ascii="仿宋_GB2312" w:hAnsi="Times New Roman" w:cs="Times New Roman"/>
                <w:kern w:val="0"/>
                <w:szCs w:val="28"/>
              </w:rPr>
              <w:t>006.34</w:t>
            </w:r>
          </w:p>
        </w:tc>
      </w:tr>
    </w:tbl>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spacing w:line="580" w:lineRule="exact"/>
        <w:ind w:firstLine="643" w:firstLineChars="200"/>
        <w:rPr>
          <w:rFonts w:ascii="仿宋_GB2312" w:hAnsi="Times New Roman" w:cs="Times New Roman"/>
          <w:sz w:val="32"/>
          <w:szCs w:val="32"/>
        </w:rPr>
      </w:pPr>
      <w:r>
        <w:rPr>
          <w:rFonts w:hint="eastAsia" w:ascii="仿宋_GB2312" w:hAnsi="Times New Roman" w:cs="Times New Roman"/>
          <w:b/>
          <w:bCs/>
          <w:sz w:val="32"/>
          <w:szCs w:val="32"/>
        </w:rPr>
        <w:t>蓝莓消费日益增长，需求量逐年攀升。</w:t>
      </w:r>
      <w:r>
        <w:rPr>
          <w:rFonts w:hint="eastAsia" w:ascii="仿宋_GB2312" w:hAnsi="Times New Roman" w:cs="Times New Roman"/>
          <w:sz w:val="32"/>
          <w:szCs w:val="32"/>
        </w:rPr>
        <w:t>蓝莓是一种具有极高经济价值的新兴世界性小浆果树种，果实中除了常规的糖、酸和Vc外，富含VE、VA、VB、SOD、熊果苷、蛋白质、花青苷、食用纤维以及丰富的K、Fe、Zn、Ca等矿质元素，具有改善循环、抗炎症、提高免疫力等功能，已被国际粮农组织列为人类五大健康食品之一。数据显示，近年来我国蓝莓需求量呈现逐年增长态势，2019年为23.1万吨，到2020年将近30万吨。</w:t>
      </w:r>
    </w:p>
    <w:p>
      <w:pPr>
        <w:pStyle w:val="4"/>
        <w:spacing w:line="580" w:lineRule="exact"/>
        <w:ind w:firstLine="400"/>
        <w:jc w:val="center"/>
        <w:rPr>
          <w:rFonts w:ascii="仿宋_GB2312" w:hAnsi="Times New Roman" w:eastAsia="仿宋_GB2312" w:cs="Times New Roman"/>
          <w:b/>
          <w:bCs/>
          <w:sz w:val="28"/>
          <w:szCs w:val="28"/>
        </w:rPr>
      </w:pPr>
      <w:r>
        <w:drawing>
          <wp:anchor distT="0" distB="0" distL="114300" distR="114300" simplePos="0" relativeHeight="251665408" behindDoc="0" locked="0" layoutInCell="1" allowOverlap="1">
            <wp:simplePos x="0" y="0"/>
            <wp:positionH relativeFrom="page">
              <wp:align>center</wp:align>
            </wp:positionH>
            <wp:positionV relativeFrom="paragraph">
              <wp:posOffset>465455</wp:posOffset>
            </wp:positionV>
            <wp:extent cx="5020310" cy="2776220"/>
            <wp:effectExtent l="0" t="0" r="8890" b="5080"/>
            <wp:wrapTopAndBottom/>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仿宋_GB2312" w:cs="Times New Roman"/>
          <w:b/>
          <w:bCs/>
          <w:sz w:val="28"/>
          <w:szCs w:val="28"/>
        </w:rPr>
        <w:t>图</w:t>
      </w:r>
      <w:r>
        <w:rPr>
          <w:rFonts w:hint="eastAsia" w:ascii="仿宋_GB2312" w:hAnsi="Times New Roman" w:eastAsia="仿宋_GB2312" w:cs="Times New Roman"/>
          <w:b/>
          <w:bCs/>
          <w:sz w:val="28"/>
          <w:szCs w:val="28"/>
        </w:rPr>
        <w:t xml:space="preserve">表 </w:t>
      </w:r>
      <w:r>
        <w:rPr>
          <w:rFonts w:ascii="仿宋_GB2312" w:hAnsi="Times New Roman" w:eastAsia="仿宋_GB2312" w:cs="Times New Roman"/>
          <w:b/>
          <w:bCs/>
          <w:sz w:val="28"/>
          <w:szCs w:val="28"/>
        </w:rPr>
        <w:t>10</w:t>
      </w:r>
      <w:r>
        <w:rPr>
          <w:rFonts w:hint="eastAsia" w:ascii="仿宋_GB2312" w:hAnsi="Times New Roman" w:eastAsia="仿宋_GB2312" w:cs="Times New Roman"/>
          <w:b/>
          <w:bCs/>
          <w:sz w:val="28"/>
          <w:szCs w:val="28"/>
        </w:rPr>
        <w:t xml:space="preserve">  2016-2020年中国蓝莓需求量变化趋势图</w:t>
      </w:r>
    </w:p>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spacing w:line="580" w:lineRule="exact"/>
        <w:ind w:firstLine="643" w:firstLineChars="200"/>
        <w:rPr>
          <w:rFonts w:ascii="仿宋_GB2312" w:hAnsi="Times New Roman" w:cs="Times New Roman"/>
          <w:sz w:val="32"/>
          <w:szCs w:val="32"/>
        </w:rPr>
      </w:pPr>
      <w:r>
        <w:rPr>
          <w:rFonts w:hint="eastAsia" w:ascii="仿宋_GB2312" w:hAnsi="Times New Roman" w:cs="Times New Roman"/>
          <w:b/>
          <w:bCs/>
          <w:sz w:val="32"/>
          <w:szCs w:val="32"/>
        </w:rPr>
        <w:t>国外蓝莓进口鲜果快速增长，填补本土鲜果空窗期。</w:t>
      </w:r>
      <w:r>
        <w:rPr>
          <w:rFonts w:hint="eastAsia" w:ascii="仿宋_GB2312" w:hAnsi="Times New Roman" w:cs="Times New Roman"/>
          <w:sz w:val="32"/>
          <w:szCs w:val="32"/>
        </w:rPr>
        <w:t>中国蓝莓栽培面积和产量逐年持续快速上升，随着鲜果产量的逐年提高，鲜果的售价相较早期更加平民化，消费群体明显增加，对蓝莓的需求量也不断扩大。由于9月至12月为我国本土蓝莓鲜果的空窗期，为了满足国内消费市场，我国从智利、秘鲁等国家进口蓝莓。据统计，我国蓝莓鲜果进口量从2012年的499吨增加至2019年的22045吨，七年间增长44倍。2020年，蓝莓鲜果进口量进一步扩大超2.8万吨。</w:t>
      </w:r>
    </w:p>
    <w:p>
      <w:pPr>
        <w:pStyle w:val="4"/>
        <w:spacing w:line="580" w:lineRule="exact"/>
        <w:jc w:val="center"/>
        <w:rPr>
          <w:rFonts w:ascii="Times New Roman" w:hAnsi="Times New Roman" w:eastAsia="仿宋_GB2312" w:cs="Times New Roman"/>
          <w:b/>
          <w:bCs/>
          <w:sz w:val="28"/>
          <w:szCs w:val="28"/>
        </w:rPr>
      </w:pPr>
      <w:r>
        <w:rPr>
          <w:rFonts w:hint="eastAsia" w:ascii="仿宋_GB2312" w:eastAsia="仿宋_GB2312"/>
        </w:rPr>
        <w:drawing>
          <wp:anchor distT="0" distB="0" distL="114300" distR="114300" simplePos="0" relativeHeight="251664384" behindDoc="0" locked="0" layoutInCell="1" allowOverlap="1">
            <wp:simplePos x="0" y="0"/>
            <wp:positionH relativeFrom="margin">
              <wp:align>center</wp:align>
            </wp:positionH>
            <wp:positionV relativeFrom="paragraph">
              <wp:posOffset>449580</wp:posOffset>
            </wp:positionV>
            <wp:extent cx="4939665" cy="2709545"/>
            <wp:effectExtent l="0" t="0" r="13335" b="14605"/>
            <wp:wrapTopAndBottom/>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仿宋_GB2312" w:hAnsi="Times New Roman" w:eastAsia="仿宋_GB2312" w:cs="Times New Roman"/>
          <w:b/>
          <w:bCs/>
          <w:sz w:val="28"/>
          <w:szCs w:val="28"/>
        </w:rPr>
        <w:t xml:space="preserve">图表 </w:t>
      </w:r>
      <w:r>
        <w:rPr>
          <w:rFonts w:ascii="仿宋_GB2312" w:hAnsi="Times New Roman" w:eastAsia="仿宋_GB2312" w:cs="Times New Roman"/>
          <w:b/>
          <w:bCs/>
          <w:sz w:val="28"/>
          <w:szCs w:val="28"/>
        </w:rPr>
        <w:t>11</w:t>
      </w:r>
      <w:r>
        <w:rPr>
          <w:rFonts w:hint="eastAsia" w:ascii="仿宋_GB2312" w:hAnsi="Times New Roman" w:eastAsia="仿宋_GB2312" w:cs="Times New Roman"/>
          <w:b/>
          <w:bCs/>
          <w:sz w:val="28"/>
          <w:szCs w:val="28"/>
        </w:rPr>
        <w:t xml:space="preserve">  2016-2020年中国</w:t>
      </w:r>
      <w:r>
        <w:rPr>
          <w:rFonts w:hint="eastAsia" w:ascii="Times New Roman" w:hAnsi="Times New Roman" w:eastAsia="仿宋_GB2312" w:cs="Times New Roman"/>
          <w:b/>
          <w:bCs/>
          <w:sz w:val="28"/>
          <w:szCs w:val="28"/>
        </w:rPr>
        <w:t>蓝莓鲜果进口</w:t>
      </w:r>
      <w:r>
        <w:rPr>
          <w:rFonts w:ascii="Times New Roman" w:hAnsi="Times New Roman" w:eastAsia="仿宋_GB2312" w:cs="Times New Roman"/>
          <w:b/>
          <w:bCs/>
          <w:sz w:val="28"/>
          <w:szCs w:val="28"/>
        </w:rPr>
        <w:t>量变化趋势图</w:t>
      </w:r>
    </w:p>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中国优质农产品开发服务协会、中商情报网数据库</w:t>
      </w:r>
    </w:p>
    <w:p>
      <w:pPr>
        <w:snapToGrid w:val="0"/>
        <w:spacing w:line="580" w:lineRule="exact"/>
        <w:ind w:firstLine="643" w:firstLineChars="200"/>
        <w:rPr>
          <w:rFonts w:ascii="仿宋_GB2312" w:hAnsi="仿宋"/>
          <w:sz w:val="32"/>
          <w:szCs w:val="32"/>
        </w:rPr>
      </w:pPr>
      <w:r>
        <w:rPr>
          <w:rFonts w:hint="eastAsia" w:ascii="仿宋_GB2312" w:hAnsi="仿宋"/>
          <w:b/>
          <w:bCs/>
          <w:sz w:val="32"/>
          <w:szCs w:val="32"/>
        </w:rPr>
        <w:t>蓝莓深加工需求旺盛，企业加快布局种植、加工、销售一体化。</w:t>
      </w:r>
      <w:r>
        <w:rPr>
          <w:rFonts w:hint="eastAsia" w:ascii="仿宋_GB2312" w:hAnsi="仿宋"/>
          <w:sz w:val="32"/>
          <w:szCs w:val="32"/>
        </w:rPr>
        <w:t>蓝莓具有丰富的营养价值，除了蓝莓鲜果也被加工为果汁、果酱、酒等加工品。蓝莓加工品的发展与其它果品相似，一方面解决了鲜果贮藏期较短、果实利用率低的问题，丰富了市场供应，延长了产品链，另一方面也满足了消费者对产品营养、保健方面的需求。随着人们营养健康意识不断强化，蓝莓产品大受欢迎，对蓝莓深加工的需求也在持续扩大。目前，我国蓝莓市场已有以沃田集团为代表的集种植、生产、鲜果及深加工、销售于一体的企业。</w:t>
      </w:r>
    </w:p>
    <w:p>
      <w:pPr>
        <w:pStyle w:val="4"/>
        <w:spacing w:line="580" w:lineRule="exact"/>
        <w:ind w:firstLine="562"/>
        <w:jc w:val="center"/>
        <w:rPr>
          <w:rFonts w:ascii="Times New Roman" w:hAnsi="Times New Roman" w:eastAsia="仿宋_GB2312" w:cs="Times New Roman"/>
          <w:b/>
          <w:bCs/>
          <w:sz w:val="28"/>
          <w:szCs w:val="28"/>
        </w:rPr>
      </w:pPr>
    </w:p>
    <w:p>
      <w:pPr>
        <w:pStyle w:val="4"/>
        <w:spacing w:line="580" w:lineRule="exact"/>
        <w:ind w:firstLine="562"/>
        <w:jc w:val="center"/>
        <w:rPr>
          <w:rFonts w:ascii="Times New Roman" w:hAnsi="Times New Roman" w:eastAsia="仿宋_GB2312" w:cs="Times New Roman"/>
          <w:b/>
          <w:bCs/>
          <w:sz w:val="28"/>
          <w:szCs w:val="28"/>
        </w:rPr>
      </w:pPr>
    </w:p>
    <w:p>
      <w:pPr>
        <w:pStyle w:val="4"/>
        <w:spacing w:line="580" w:lineRule="exact"/>
        <w:ind w:firstLine="562"/>
        <w:jc w:val="center"/>
        <w:rPr>
          <w:rFonts w:ascii="Times New Roman" w:hAnsi="Times New Roman" w:eastAsia="仿宋_GB2312" w:cs="Times New Roman"/>
          <w:b/>
          <w:bCs/>
          <w:sz w:val="28"/>
          <w:szCs w:val="28"/>
        </w:rPr>
      </w:pPr>
    </w:p>
    <w:p>
      <w:pPr>
        <w:pStyle w:val="4"/>
        <w:spacing w:line="580" w:lineRule="exact"/>
        <w:jc w:val="center"/>
        <w:rPr>
          <w:rFonts w:ascii="仿宋_GB2312" w:hAnsi="Times New Roman" w:eastAsia="仿宋_GB2312" w:cs="Times New Roman"/>
          <w:b/>
          <w:bCs/>
          <w:sz w:val="28"/>
          <w:szCs w:val="28"/>
        </w:rPr>
      </w:pPr>
      <w:r>
        <w:rPr>
          <w:rFonts w:hint="eastAsia" w:ascii="仿宋_GB2312" w:hAnsi="Times New Roman" w:eastAsia="仿宋_GB2312" w:cs="Times New Roman"/>
          <w:b/>
          <w:bCs/>
          <w:sz w:val="28"/>
          <w:szCs w:val="28"/>
        </w:rPr>
        <w:t xml:space="preserve">图表 </w:t>
      </w:r>
      <w:r>
        <w:rPr>
          <w:rFonts w:ascii="仿宋_GB2312" w:hAnsi="Times New Roman" w:eastAsia="仿宋_GB2312" w:cs="Times New Roman"/>
          <w:b/>
          <w:bCs/>
          <w:sz w:val="28"/>
          <w:szCs w:val="28"/>
        </w:rPr>
        <w:t>12</w:t>
      </w:r>
      <w:r>
        <w:rPr>
          <w:rFonts w:hint="eastAsia" w:ascii="仿宋_GB2312" w:hAnsi="Times New Roman" w:eastAsia="仿宋_GB2312" w:cs="Times New Roman"/>
          <w:b/>
          <w:bCs/>
          <w:sz w:val="28"/>
          <w:szCs w:val="28"/>
        </w:rPr>
        <w:t xml:space="preserve">  中国蓝莓市场主要企业布局情况</w:t>
      </w:r>
    </w:p>
    <w:tbl>
      <w:tblPr>
        <w:tblStyle w:val="15"/>
        <w:tblW w:w="5293" w:type="pct"/>
        <w:jc w:val="center"/>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867"/>
        <w:gridCol w:w="4943"/>
        <w:gridCol w:w="3781"/>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tblHeader/>
          <w:jc w:val="center"/>
        </w:trPr>
        <w:tc>
          <w:tcPr>
            <w:tcW w:w="452" w:type="pct"/>
            <w:shd w:val="clear" w:color="auto" w:fill="4472C4" w:themeFill="accent1"/>
            <w:noWrap/>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ascii="黑体" w:hAnsi="黑体" w:eastAsia="黑体" w:cs="Times New Roman"/>
                <w:color w:val="FFFFFF" w:themeColor="background1"/>
                <w:kern w:val="0"/>
                <w:szCs w:val="28"/>
                <w14:textFill>
                  <w14:solidFill>
                    <w14:schemeClr w14:val="bg1"/>
                  </w14:solidFill>
                </w14:textFill>
              </w:rPr>
              <w:t>序号</w:t>
            </w:r>
          </w:p>
        </w:tc>
        <w:tc>
          <w:tcPr>
            <w:tcW w:w="2577" w:type="pct"/>
            <w:shd w:val="clear" w:color="auto" w:fill="4472C4" w:themeFill="accent1"/>
            <w:vAlign w:val="center"/>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ascii="黑体" w:hAnsi="黑体" w:eastAsia="黑体" w:cs="Times New Roman"/>
                <w:color w:val="FFFFFF" w:themeColor="background1"/>
                <w:kern w:val="0"/>
                <w:szCs w:val="28"/>
                <w14:textFill>
                  <w14:solidFill>
                    <w14:schemeClr w14:val="bg1"/>
                  </w14:solidFill>
                </w14:textFill>
              </w:rPr>
              <w:t>企业</w:t>
            </w:r>
          </w:p>
        </w:tc>
        <w:tc>
          <w:tcPr>
            <w:tcW w:w="1971" w:type="pct"/>
            <w:shd w:val="clear" w:color="auto" w:fill="4472C4" w:themeFill="accent1"/>
          </w:tcPr>
          <w:p>
            <w:pPr>
              <w:widowControl/>
              <w:spacing w:line="440" w:lineRule="exact"/>
              <w:jc w:val="center"/>
              <w:rPr>
                <w:rFonts w:ascii="黑体" w:hAnsi="黑体" w:eastAsia="黑体" w:cs="Times New Roman"/>
                <w:color w:val="FFFFFF" w:themeColor="background1"/>
                <w:kern w:val="0"/>
                <w:szCs w:val="28"/>
                <w14:textFill>
                  <w14:solidFill>
                    <w14:schemeClr w14:val="bg1"/>
                  </w14:solidFill>
                </w14:textFill>
              </w:rPr>
            </w:pPr>
            <w:r>
              <w:rPr>
                <w:rFonts w:hint="eastAsia" w:ascii="黑体" w:hAnsi="黑体" w:eastAsia="黑体" w:cs="Times New Roman"/>
                <w:color w:val="FFFFFF" w:themeColor="background1"/>
                <w:kern w:val="0"/>
                <w:szCs w:val="28"/>
                <w14:textFill>
                  <w14:solidFill>
                    <w14:schemeClr w14:val="bg1"/>
                  </w14:solidFill>
                </w14:textFill>
              </w:rPr>
              <w:t>布局领域</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江苏沃田集团股份有限公司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2</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鑫荣懋果业科技集团股份有限公司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3</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中国海升果汁控股有限公司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4</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通化禾韵现代农业股份有限公司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5</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青岛沃林蓝莓果业有限公司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6</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盛林蓝莓集团股份有限公司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7</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浙江蓝美技术股份有限公司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8</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沈阳市皇冠蓝莓产业有限公司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9</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安庆蓝莓农业科技有限公司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种植、鲜果销售、精深加工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452" w:type="pct"/>
            <w:shd w:val="clear" w:color="auto" w:fill="auto"/>
            <w:noWrap/>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10</w:t>
            </w:r>
          </w:p>
        </w:tc>
        <w:tc>
          <w:tcPr>
            <w:tcW w:w="2577" w:type="pct"/>
            <w:vAlign w:val="center"/>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大兴安岭百盛蓝莓科技开发有限公司</w:t>
            </w:r>
          </w:p>
        </w:tc>
        <w:tc>
          <w:tcPr>
            <w:tcW w:w="1971" w:type="pct"/>
          </w:tcPr>
          <w:p>
            <w:pPr>
              <w:widowControl/>
              <w:spacing w:line="440" w:lineRule="exact"/>
              <w:jc w:val="center"/>
              <w:rPr>
                <w:rFonts w:ascii="仿宋_GB2312" w:hAnsi="Times New Roman" w:cs="Times New Roman"/>
                <w:kern w:val="0"/>
                <w:szCs w:val="28"/>
              </w:rPr>
            </w:pPr>
            <w:r>
              <w:rPr>
                <w:rFonts w:hint="eastAsia" w:ascii="仿宋_GB2312" w:hAnsi="Times New Roman" w:cs="Times New Roman"/>
                <w:kern w:val="0"/>
                <w:szCs w:val="28"/>
              </w:rPr>
              <w:t>精深加工</w:t>
            </w:r>
          </w:p>
        </w:tc>
      </w:tr>
    </w:tbl>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中商产业研究院</w:t>
      </w:r>
    </w:p>
    <w:p>
      <w:pPr>
        <w:keepNext/>
        <w:keepLines/>
        <w:spacing w:line="580" w:lineRule="exact"/>
        <w:ind w:firstLine="643" w:firstLineChars="200"/>
        <w:outlineLvl w:val="1"/>
        <w:rPr>
          <w:rFonts w:ascii="楷体" w:hAnsi="楷体" w:eastAsia="楷体" w:cs="宋体"/>
          <w:b/>
          <w:bCs/>
          <w:color w:val="000000"/>
          <w:sz w:val="32"/>
          <w:szCs w:val="32"/>
        </w:rPr>
      </w:pPr>
      <w:bookmarkStart w:id="50" w:name="_Toc76720111"/>
      <w:bookmarkStart w:id="51" w:name="_Toc78441342"/>
      <w:r>
        <w:rPr>
          <w:rFonts w:hint="eastAsia" w:ascii="楷体" w:hAnsi="楷体" w:eastAsia="楷体" w:cs="宋体"/>
          <w:b/>
          <w:bCs/>
          <w:color w:val="000000"/>
          <w:sz w:val="32"/>
          <w:szCs w:val="32"/>
        </w:rPr>
        <w:t>（二）</w:t>
      </w:r>
      <w:bookmarkEnd w:id="50"/>
      <w:r>
        <w:rPr>
          <w:rFonts w:hint="eastAsia" w:ascii="楷体" w:hAnsi="楷体" w:eastAsia="楷体" w:cs="宋体"/>
          <w:b/>
          <w:bCs/>
          <w:color w:val="000000"/>
          <w:sz w:val="32"/>
          <w:szCs w:val="32"/>
        </w:rPr>
        <w:t>贵州蓝莓产业概况</w:t>
      </w:r>
      <w:bookmarkEnd w:id="51"/>
    </w:p>
    <w:p>
      <w:pPr>
        <w:spacing w:line="580" w:lineRule="exact"/>
        <w:ind w:firstLine="643" w:firstLineChars="200"/>
        <w:rPr>
          <w:rFonts w:ascii="仿宋_GB2312" w:hAnsi="微软雅黑"/>
          <w:sz w:val="32"/>
          <w:szCs w:val="32"/>
        </w:rPr>
      </w:pPr>
      <w:r>
        <w:rPr>
          <w:rFonts w:hint="eastAsia" w:ascii="仿宋_GB2312" w:hAnsi="微软雅黑"/>
          <w:b/>
          <w:bCs/>
          <w:sz w:val="32"/>
          <w:szCs w:val="32"/>
        </w:rPr>
        <w:t>贵州省依托当地资源禀赋、气候条件，具有发展精品水果产业的基础。</w:t>
      </w:r>
      <w:r>
        <w:rPr>
          <w:rFonts w:hint="eastAsia" w:ascii="仿宋_GB2312" w:hAnsi="微软雅黑"/>
          <w:sz w:val="32"/>
          <w:szCs w:val="32"/>
        </w:rPr>
        <w:t>贵州省自2000年开始引入蓝莓进行种植试验，现已成为全国最大的蓝莓生产省，种植面积、产量均居于全国首位。据统计，截至2020年12月底，贵州省蓝莓种植面积达19.32万亩，蓝莓产量为4.58万吨，在国内已形成有规模、有地位、有国际影响力的山地浆果产业。未来，贵州蓝莓产业将进一步扩大规模,2021年全省蓝莓种植面积预计将增加到22万亩,持续领跑全国。</w:t>
      </w:r>
    </w:p>
    <w:p>
      <w:pPr>
        <w:spacing w:line="580" w:lineRule="exact"/>
        <w:ind w:firstLine="643" w:firstLineChars="200"/>
        <w:rPr>
          <w:rFonts w:ascii="仿宋_GB2312" w:hAnsi="微软雅黑"/>
          <w:sz w:val="32"/>
          <w:szCs w:val="32"/>
        </w:rPr>
      </w:pPr>
      <w:r>
        <w:rPr>
          <w:rFonts w:hint="eastAsia" w:ascii="仿宋_GB2312" w:hAnsi="微软雅黑"/>
          <w:b/>
          <w:bCs/>
          <w:sz w:val="32"/>
          <w:szCs w:val="32"/>
        </w:rPr>
        <w:t>目前，贵州省已形成黔东南蓝莓产业集聚区，打造出“麻江蓝莓”这一具有代表性的区域品牌。</w:t>
      </w:r>
      <w:r>
        <w:rPr>
          <w:rFonts w:hint="eastAsia" w:ascii="仿宋_GB2312" w:hAnsi="微软雅黑"/>
          <w:sz w:val="32"/>
          <w:szCs w:val="32"/>
        </w:rPr>
        <w:t>黔东南州是中国最大的人工种植蓝莓地区，种植的主要品种有兔眼系列中的园蓝、粉蓝、杰兔、体弗兰、灿烂、顶峰和芭尔德温等品种以及少量的高丛系列。黔东南州蓝莓种植主体多元化，有企业、合作社、专业大户和家庭农场，呈现出“公司+农户”“公司+基地+农户”“合作社+农户”等抱团发展的良好模式。</w:t>
      </w:r>
    </w:p>
    <w:p>
      <w:pPr>
        <w:spacing w:line="580" w:lineRule="exact"/>
        <w:ind w:firstLine="640" w:firstLineChars="200"/>
        <w:rPr>
          <w:rFonts w:ascii="仿宋_GB2312" w:hAnsi="微软雅黑"/>
          <w:sz w:val="32"/>
          <w:szCs w:val="32"/>
        </w:rPr>
      </w:pPr>
      <w:r>
        <w:rPr>
          <w:rFonts w:hint="eastAsia" w:ascii="仿宋_GB2312" w:hAnsi="微软雅黑"/>
          <w:sz w:val="32"/>
          <w:szCs w:val="32"/>
        </w:rPr>
        <w:t>从分布情况来看，黔东南州西部的麻江、丹寨、黄平、凯里等县市是贵州省蓝莓的主产区，其规模占贵州省的60%以上，产量占80%以上。另外，</w:t>
      </w:r>
      <w:r>
        <w:rPr>
          <w:rFonts w:hint="eastAsia" w:ascii="仿宋_GB2312" w:hAnsi="微软雅黑"/>
          <w:b/>
          <w:bCs/>
          <w:sz w:val="32"/>
          <w:szCs w:val="32"/>
        </w:rPr>
        <w:t>贵阳</w:t>
      </w:r>
      <w:r>
        <w:rPr>
          <w:rFonts w:hint="eastAsia" w:ascii="仿宋_GB2312" w:hAnsi="微软雅黑"/>
          <w:sz w:val="32"/>
          <w:szCs w:val="32"/>
        </w:rPr>
        <w:t>、安顺，遵义以及黔南等州市近年来也在加快发展蓝莓产业。</w:t>
      </w:r>
    </w:p>
    <w:p>
      <w:pPr>
        <w:spacing w:line="580" w:lineRule="exact"/>
        <w:jc w:val="center"/>
        <w:rPr>
          <w:rFonts w:ascii="仿宋_GB2312" w:hAnsi="微软雅黑"/>
          <w:sz w:val="32"/>
          <w:szCs w:val="32"/>
        </w:rPr>
      </w:pPr>
      <w:r>
        <w:rPr>
          <w:rFonts w:hint="eastAsia" w:ascii="仿宋_GB2312" w:hAnsi="Times New Roman" w:cs="Times New Roman"/>
          <w:b/>
          <w:bCs/>
          <w:szCs w:val="28"/>
        </w:rPr>
        <w:t xml:space="preserve">图表 </w:t>
      </w:r>
      <w:r>
        <w:rPr>
          <w:rFonts w:ascii="仿宋_GB2312" w:hAnsi="Times New Roman" w:cs="Times New Roman"/>
          <w:b/>
          <w:bCs/>
          <w:szCs w:val="28"/>
        </w:rPr>
        <w:t>13</w:t>
      </w:r>
      <w:r>
        <w:rPr>
          <w:rFonts w:hint="eastAsia" w:ascii="仿宋_GB2312" w:hAnsi="Times New Roman" w:cs="Times New Roman"/>
          <w:b/>
          <w:bCs/>
          <w:szCs w:val="28"/>
        </w:rPr>
        <w:t xml:space="preserve">  贵州省蓝莓主产区情况</w:t>
      </w:r>
    </w:p>
    <w:tbl>
      <w:tblPr>
        <w:tblStyle w:val="15"/>
        <w:tblW w:w="4891" w:type="pct"/>
        <w:jc w:val="center"/>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autofit"/>
        <w:tblCellMar>
          <w:top w:w="0" w:type="dxa"/>
          <w:left w:w="108" w:type="dxa"/>
          <w:bottom w:w="0" w:type="dxa"/>
          <w:right w:w="108" w:type="dxa"/>
        </w:tblCellMar>
      </w:tblPr>
      <w:tblGrid>
        <w:gridCol w:w="1017"/>
        <w:gridCol w:w="1740"/>
        <w:gridCol w:w="6105"/>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tblHeader/>
          <w:jc w:val="center"/>
        </w:trPr>
        <w:tc>
          <w:tcPr>
            <w:tcW w:w="574" w:type="pct"/>
            <w:tcBorders>
              <w:right w:val="single" w:color="FFFFFF" w:themeColor="background1" w:sz="4" w:space="0"/>
            </w:tcBorders>
            <w:shd w:val="clear" w:color="auto" w:fill="4472C4" w:themeFill="accent1"/>
            <w:vAlign w:val="center"/>
          </w:tcPr>
          <w:p>
            <w:pPr>
              <w:spacing w:line="440" w:lineRule="exact"/>
              <w:jc w:val="center"/>
              <w:rPr>
                <w:rFonts w:ascii="黑体" w:hAnsi="黑体" w:eastAsia="黑体" w:cs="Times New Roman"/>
                <w:color w:val="FFFFFF" w:themeColor="background1"/>
                <w:szCs w:val="28"/>
                <w14:textFill>
                  <w14:solidFill>
                    <w14:schemeClr w14:val="bg1"/>
                  </w14:solidFill>
                </w14:textFill>
              </w:rPr>
            </w:pPr>
            <w:r>
              <w:rPr>
                <w:rFonts w:ascii="黑体" w:hAnsi="黑体" w:eastAsia="黑体" w:cs="Times New Roman"/>
                <w:color w:val="FFFFFF" w:themeColor="background1"/>
                <w:szCs w:val="28"/>
                <w14:textFill>
                  <w14:solidFill>
                    <w14:schemeClr w14:val="bg1"/>
                  </w14:solidFill>
                </w14:textFill>
              </w:rPr>
              <w:t>序号</w:t>
            </w:r>
          </w:p>
        </w:tc>
        <w:tc>
          <w:tcPr>
            <w:tcW w:w="982" w:type="pct"/>
            <w:tcBorders>
              <w:left w:val="single" w:color="FFFFFF" w:themeColor="background1" w:sz="4" w:space="0"/>
              <w:right w:val="single" w:color="FFFFFF" w:themeColor="background1" w:sz="4" w:space="0"/>
            </w:tcBorders>
            <w:shd w:val="clear" w:color="auto" w:fill="4472C4" w:themeFill="accent1"/>
            <w:vAlign w:val="center"/>
          </w:tcPr>
          <w:p>
            <w:pPr>
              <w:spacing w:line="440" w:lineRule="exact"/>
              <w:jc w:val="center"/>
              <w:rPr>
                <w:rFonts w:ascii="黑体" w:hAnsi="黑体" w:eastAsia="黑体" w:cs="Times New Roman"/>
                <w:color w:val="FFFFFF" w:themeColor="background1"/>
                <w:szCs w:val="28"/>
                <w14:textFill>
                  <w14:solidFill>
                    <w14:schemeClr w14:val="bg1"/>
                  </w14:solidFill>
                </w14:textFill>
              </w:rPr>
            </w:pPr>
            <w:r>
              <w:rPr>
                <w:rFonts w:ascii="黑体" w:hAnsi="黑体" w:eastAsia="黑体" w:cs="Times New Roman"/>
                <w:color w:val="FFFFFF" w:themeColor="background1"/>
                <w:szCs w:val="28"/>
                <w14:textFill>
                  <w14:solidFill>
                    <w14:schemeClr w14:val="bg1"/>
                  </w14:solidFill>
                </w14:textFill>
              </w:rPr>
              <w:t>区县</w:t>
            </w:r>
          </w:p>
        </w:tc>
        <w:tc>
          <w:tcPr>
            <w:tcW w:w="3444" w:type="pct"/>
            <w:tcBorders>
              <w:left w:val="single" w:color="FFFFFF" w:themeColor="background1" w:sz="4" w:space="0"/>
            </w:tcBorders>
            <w:shd w:val="clear" w:color="auto" w:fill="4472C4" w:themeFill="accent1"/>
            <w:vAlign w:val="center"/>
          </w:tcPr>
          <w:p>
            <w:pPr>
              <w:spacing w:line="440" w:lineRule="exact"/>
              <w:jc w:val="center"/>
              <w:rPr>
                <w:rFonts w:ascii="黑体" w:hAnsi="黑体" w:eastAsia="黑体" w:cs="Times New Roman"/>
                <w:color w:val="FFFFFF" w:themeColor="background1"/>
                <w:szCs w:val="28"/>
                <w14:textFill>
                  <w14:solidFill>
                    <w14:schemeClr w14:val="bg1"/>
                  </w14:solidFill>
                </w14:textFill>
              </w:rPr>
            </w:pPr>
            <w:r>
              <w:rPr>
                <w:rFonts w:ascii="黑体" w:hAnsi="黑体" w:eastAsia="黑体" w:cs="Times New Roman"/>
                <w:color w:val="FFFFFF" w:themeColor="background1"/>
                <w:szCs w:val="28"/>
                <w14:textFill>
                  <w14:solidFill>
                    <w14:schemeClr w14:val="bg1"/>
                  </w14:solidFill>
                </w14:textFill>
              </w:rPr>
              <w:t>产业概况</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574"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1</w:t>
            </w:r>
          </w:p>
        </w:tc>
        <w:tc>
          <w:tcPr>
            <w:tcW w:w="982"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麻江县</w:t>
            </w:r>
          </w:p>
        </w:tc>
        <w:tc>
          <w:tcPr>
            <w:tcW w:w="3444"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全国县级单位蓝莓种植面积最大的县和中国南方最大的蓝莓种植基地县，蓝莓种植面积达7.5万亩，投产2.5万亩，产业覆盖7个乡镇（街道）53个村，受益农户达1.1万户，拥有“麻江蓝莓”国家地理标志保护产品。2020年，麻江县全县蓝莓产量5600吨，其中鲜食果产量约2000吨，加工果产量约3600吨，产值将近2亿。</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574"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2</w:t>
            </w:r>
          </w:p>
        </w:tc>
        <w:tc>
          <w:tcPr>
            <w:tcW w:w="982"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丹寨县</w:t>
            </w:r>
          </w:p>
        </w:tc>
        <w:tc>
          <w:tcPr>
            <w:tcW w:w="3444"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丹寨县绿海蓝星现代高效农业示范园区具备自然资源、气候、区位等优势条件，拥有“有机蓝莓产业带”。茅台生态农业公司于2015年入驻丹寨，发展蓝莓种植、加工，生产蓝莓酒、蓝莓饮料等产品，拥有“悠蜜（Umeet）”和“云上果园”等品牌。</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574"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3</w:t>
            </w:r>
          </w:p>
        </w:tc>
        <w:tc>
          <w:tcPr>
            <w:tcW w:w="982"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黄平县</w:t>
            </w:r>
          </w:p>
        </w:tc>
        <w:tc>
          <w:tcPr>
            <w:tcW w:w="3444" w:type="pct"/>
            <w:vAlign w:val="center"/>
          </w:tcPr>
          <w:p>
            <w:pPr>
              <w:spacing w:line="480" w:lineRule="exact"/>
              <w:rPr>
                <w:rFonts w:ascii="仿宋_GB2312" w:hAnsi="Times New Roman" w:cs="Times New Roman"/>
                <w:szCs w:val="28"/>
              </w:rPr>
            </w:pPr>
            <w:r>
              <w:rPr>
                <w:rFonts w:hint="eastAsia" w:ascii="仿宋_GB2312" w:hAnsi="Times New Roman" w:cs="Times New Roman"/>
                <w:szCs w:val="28"/>
              </w:rPr>
              <w:t>按照“因地制宜，突出特色，积极引导，大力培育”的发展思路，鼓励当地扶持蓝莓产业发展。黄平县属亚热带温暖湿润性气候，土壤PH4.5-6.5之间，为砂质壤土，土层深厚，土质肥沃，比较适合种植蓝莓，境内有金佰瑞、丰平等蓝莓种植企业。丰富的土地资源和优美自然环境，为蓝莓种植园和旅游采摘体验创造了有利条件，是黔东南州蓝莓种植重点区域。</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574" w:type="pct"/>
            <w:vAlign w:val="center"/>
          </w:tcPr>
          <w:p>
            <w:pPr>
              <w:spacing w:line="440" w:lineRule="exact"/>
              <w:rPr>
                <w:rFonts w:ascii="仿宋_GB2312" w:hAnsi="Times New Roman" w:cs="Times New Roman"/>
                <w:szCs w:val="28"/>
              </w:rPr>
            </w:pPr>
            <w:r>
              <w:rPr>
                <w:rFonts w:hint="eastAsia" w:ascii="仿宋_GB2312" w:hAnsi="Times New Roman" w:cs="Times New Roman"/>
                <w:szCs w:val="28"/>
              </w:rPr>
              <w:t>4</w:t>
            </w:r>
          </w:p>
        </w:tc>
        <w:tc>
          <w:tcPr>
            <w:tcW w:w="982" w:type="pct"/>
            <w:vAlign w:val="center"/>
          </w:tcPr>
          <w:p>
            <w:pPr>
              <w:spacing w:line="440" w:lineRule="exact"/>
              <w:rPr>
                <w:rFonts w:ascii="仿宋_GB2312" w:hAnsi="Times New Roman" w:cs="Times New Roman"/>
                <w:szCs w:val="28"/>
              </w:rPr>
            </w:pPr>
            <w:r>
              <w:rPr>
                <w:rFonts w:hint="eastAsia" w:ascii="仿宋_GB2312" w:hAnsi="Times New Roman" w:cs="Times New Roman"/>
                <w:szCs w:val="28"/>
              </w:rPr>
              <w:t>凯里市</w:t>
            </w:r>
          </w:p>
        </w:tc>
        <w:tc>
          <w:tcPr>
            <w:tcW w:w="3444" w:type="pct"/>
            <w:vAlign w:val="center"/>
          </w:tcPr>
          <w:p>
            <w:pPr>
              <w:spacing w:line="440" w:lineRule="exact"/>
              <w:rPr>
                <w:rFonts w:ascii="仿宋_GB2312" w:hAnsi="Times New Roman" w:cs="Times New Roman"/>
                <w:szCs w:val="28"/>
              </w:rPr>
            </w:pPr>
            <w:r>
              <w:rPr>
                <w:rFonts w:hint="eastAsia" w:ascii="仿宋_GB2312" w:hAnsi="Times New Roman" w:cs="Times New Roman"/>
                <w:szCs w:val="28"/>
              </w:rPr>
              <w:t>被认定为“中国蓝莓酒之乡”，凯里市自2010年开始建设蓝莓种植基地，现已覆盖碧波镇、龙场镇、大风洞乡、三棵树镇等多个乡镇、街道。凯里市利用优越的地理区位优势，在碧波、龙场一带、巴拉河沿岸、舟溪农业示范园区内建设酒庄、酒店等设施，为市民、游客提供一个“春观花、夏品果、秋赏叶、冬品酒”的休闲娱乐平台，积极推动蓝莓加工、生态旅游、餐饮等相关产业发展。同时，积极引进企业，对蓝莓进行深加工。</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37" w:hRule="atLeast"/>
          <w:jc w:val="center"/>
        </w:trPr>
        <w:tc>
          <w:tcPr>
            <w:tcW w:w="574" w:type="pct"/>
            <w:vAlign w:val="center"/>
          </w:tcPr>
          <w:p>
            <w:pPr>
              <w:spacing w:line="440" w:lineRule="exact"/>
              <w:rPr>
                <w:rFonts w:ascii="仿宋_GB2312" w:hAnsi="Times New Roman" w:cs="Times New Roman"/>
                <w:szCs w:val="28"/>
              </w:rPr>
            </w:pPr>
            <w:r>
              <w:rPr>
                <w:rFonts w:hint="eastAsia" w:ascii="仿宋_GB2312" w:hAnsi="Times New Roman" w:cs="Times New Roman"/>
                <w:szCs w:val="28"/>
              </w:rPr>
              <w:t>5</w:t>
            </w:r>
          </w:p>
        </w:tc>
        <w:tc>
          <w:tcPr>
            <w:tcW w:w="982" w:type="pct"/>
            <w:vAlign w:val="center"/>
          </w:tcPr>
          <w:p>
            <w:pPr>
              <w:spacing w:line="440" w:lineRule="exact"/>
              <w:rPr>
                <w:rFonts w:ascii="仿宋_GB2312" w:hAnsi="Times New Roman" w:cs="Times New Roman"/>
                <w:szCs w:val="28"/>
              </w:rPr>
            </w:pPr>
            <w:r>
              <w:rPr>
                <w:rFonts w:hint="eastAsia" w:ascii="仿宋_GB2312" w:hAnsi="Times New Roman" w:cs="Times New Roman"/>
                <w:szCs w:val="28"/>
              </w:rPr>
              <w:t>紫云县</w:t>
            </w:r>
          </w:p>
        </w:tc>
        <w:tc>
          <w:tcPr>
            <w:tcW w:w="3444" w:type="pct"/>
            <w:vAlign w:val="center"/>
          </w:tcPr>
          <w:p>
            <w:pPr>
              <w:spacing w:line="440" w:lineRule="exact"/>
              <w:rPr>
                <w:rFonts w:ascii="仿宋_GB2312" w:hAnsi="Times New Roman" w:cs="Times New Roman"/>
                <w:szCs w:val="28"/>
              </w:rPr>
            </w:pPr>
            <w:r>
              <w:rPr>
                <w:rFonts w:hint="eastAsia" w:ascii="仿宋_GB2312" w:hAnsi="Times New Roman" w:cs="Times New Roman"/>
                <w:szCs w:val="28"/>
              </w:rPr>
              <w:t>紫云县重点抓好蓝莓等精品水果产业。每亩投入1500元资金支持，新增种植蓝莓等精品水果0.7万亩，每亩投入500元资金支持。紫云县蓝莓种植面积已超1万亩，布局蓝莓深加工产业，推动贵州百灵紫云3000吨蓝莓系列产品深加工项目，规划投资1.28亿元，占地面积160亩，包括加工蓝莓3000吨生产线和黄果树酒厂生产线。</w:t>
            </w:r>
          </w:p>
        </w:tc>
      </w:tr>
    </w:tbl>
    <w:p>
      <w:pPr>
        <w:snapToGrid w:val="0"/>
        <w:spacing w:line="580" w:lineRule="exact"/>
        <w:ind w:firstLine="560" w:firstLineChars="200"/>
        <w:rPr>
          <w:rFonts w:ascii="Times New Roman" w:hAnsi="Times New Roman" w:cs="Times New Roman"/>
          <w:szCs w:val="28"/>
        </w:rPr>
      </w:pPr>
      <w:r>
        <w:rPr>
          <w:rFonts w:ascii="Times New Roman" w:hAnsi="Times New Roman" w:cs="Times New Roman"/>
          <w:szCs w:val="28"/>
        </w:rPr>
        <w:t>数据来源：</w:t>
      </w:r>
      <w:r>
        <w:rPr>
          <w:rFonts w:hint="eastAsia" w:ascii="Times New Roman" w:hAnsi="Times New Roman" w:cs="Times New Roman"/>
          <w:szCs w:val="28"/>
        </w:rPr>
        <w:t>中商产业研究院</w:t>
      </w:r>
    </w:p>
    <w:p>
      <w:pPr>
        <w:spacing w:line="580" w:lineRule="exact"/>
        <w:ind w:firstLine="643" w:firstLineChars="200"/>
        <w:rPr>
          <w:rFonts w:ascii="仿宋_GB2312" w:hAnsi="微软雅黑"/>
          <w:sz w:val="32"/>
          <w:szCs w:val="32"/>
        </w:rPr>
      </w:pPr>
      <w:r>
        <w:rPr>
          <w:rFonts w:hint="eastAsia" w:ascii="仿宋_GB2312" w:hAnsi="微软雅黑"/>
          <w:b/>
          <w:bCs/>
          <w:sz w:val="32"/>
          <w:szCs w:val="32"/>
        </w:rPr>
        <w:t>蓝莓产业链已初步形成。</w:t>
      </w:r>
      <w:r>
        <w:rPr>
          <w:rFonts w:hint="eastAsia" w:ascii="仿宋_GB2312" w:hAnsi="微软雅黑"/>
          <w:sz w:val="32"/>
          <w:szCs w:val="32"/>
        </w:rPr>
        <w:t>目前，贵州省已形成覆盖蓝莓种植、加工、销售以及旅游资源开发的产业链，但蓝莓花青素提取应用等精深加工环节存在空白，整体产业规模有待进一步提升。随着蓝莓产业不断成熟以及消费升级，蓝莓市场竞争将会进一步加剧。贵州省将培育扶持本地蓝莓企业做强做优，提高蓝莓品质、打造优势品牌，引进领军企业完善产业布局，拓宽蓝莓产业链。</w:t>
      </w:r>
    </w:p>
    <w:p>
      <w:pPr>
        <w:spacing w:line="580" w:lineRule="exact"/>
        <w:ind w:firstLine="640" w:firstLineChars="200"/>
        <w:rPr>
          <w:rFonts w:ascii="仿宋_GB2312" w:hAnsi="微软雅黑"/>
          <w:sz w:val="32"/>
          <w:szCs w:val="32"/>
        </w:rPr>
      </w:pPr>
      <w:r>
        <w:rPr>
          <w:rFonts w:hint="eastAsia" w:ascii="仿宋_GB2312" w:hAnsi="微软雅黑"/>
          <w:sz w:val="32"/>
          <w:szCs w:val="32"/>
        </w:rPr>
        <w:t>从企业来看，</w:t>
      </w:r>
      <w:r>
        <w:rPr>
          <w:rFonts w:hint="eastAsia" w:ascii="仿宋_GB2312" w:hAnsi="微软雅黑"/>
          <w:sz w:val="32"/>
          <w:szCs w:val="32"/>
          <w:lang w:eastAsia="zh-CN"/>
        </w:rPr>
        <w:t>贵阳市</w:t>
      </w:r>
      <w:r>
        <w:rPr>
          <w:rFonts w:hint="eastAsia" w:ascii="仿宋_GB2312" w:hAnsi="微软雅黑"/>
          <w:sz w:val="32"/>
          <w:szCs w:val="32"/>
        </w:rPr>
        <w:t>拥有贵州恒道丹林农业科技开发有限公司等企业，发展蓝莓苗木、种植；拥有贵州金佰瑞农业股份有限公司、贵州恒道丹林农业科技开发有限公司、贵州高沃蓝莓庄园有限公司、麻江鼎晟农业开发有限公司等企业，布局蓝莓加工环节，生产有蓝莓鲜果、蓝莓冻果、蓝莓酒、蓝莓汁等产品；拥有贵州蓝天农旅科技有限公司等企业，对蓝莓旅游资源进行开发，发展蓝莓农业生态观光。此外，茅台集团、百灵集团等企业也积极入局蓝莓市场。</w:t>
      </w:r>
    </w:p>
    <w:p>
      <w:pPr>
        <w:widowControl/>
        <w:jc w:val="left"/>
        <w:rPr>
          <w:rFonts w:ascii="宋体" w:hAnsi="宋体" w:eastAsia="宋体" w:cs="宋体"/>
          <w:b/>
          <w:bCs/>
          <w:sz w:val="24"/>
          <w:szCs w:val="24"/>
        </w:rPr>
      </w:pPr>
      <w:r>
        <w:rPr>
          <w:rFonts w:ascii="宋体" w:hAnsi="宋体" w:eastAsia="宋体" w:cs="宋体"/>
          <w:b/>
          <w:bCs/>
          <w:sz w:val="24"/>
          <w:szCs w:val="24"/>
        </w:rPr>
        <w:br w:type="page"/>
      </w:r>
      <w:bookmarkStart w:id="80" w:name="_GoBack"/>
      <w:bookmarkEnd w:id="80"/>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52" w:name="_Toc76720112"/>
      <w:bookmarkStart w:id="53" w:name="_Toc78441343"/>
      <w:r>
        <w:rPr>
          <w:rFonts w:hint="eastAsia" w:ascii="黑体" w:hAnsi="黑体" w:eastAsia="黑体" w:cs="宋体"/>
          <w:color w:val="000000" w:themeColor="text1"/>
          <w:sz w:val="32"/>
          <w14:textFill>
            <w14:solidFill>
              <w14:schemeClr w14:val="tx1"/>
            </w14:solidFill>
          </w14:textFill>
        </w:rPr>
        <w:t>二、市场前景</w:t>
      </w:r>
      <w:bookmarkEnd w:id="52"/>
      <w:bookmarkEnd w:id="53"/>
    </w:p>
    <w:p>
      <w:pPr>
        <w:spacing w:line="580" w:lineRule="exact"/>
        <w:ind w:firstLine="640" w:firstLineChars="200"/>
        <w:rPr>
          <w:rFonts w:ascii="仿宋_GB2312" w:hAnsi="宋体" w:cs="宋体"/>
          <w:sz w:val="32"/>
          <w:szCs w:val="32"/>
        </w:rPr>
      </w:pPr>
      <w:r>
        <w:rPr>
          <w:rFonts w:hint="eastAsia" w:ascii="仿宋_GB2312" w:hAnsi="宋体" w:cs="宋体"/>
          <w:sz w:val="32"/>
          <w:szCs w:val="32"/>
        </w:rPr>
        <w:t>我国蓝莓生产经历了近</w:t>
      </w:r>
      <w:r>
        <w:rPr>
          <w:rFonts w:ascii="仿宋_GB2312" w:hAnsi="宋体" w:cs="宋体"/>
          <w:sz w:val="32"/>
          <w:szCs w:val="32"/>
        </w:rPr>
        <w:t>20年的历程，栽培区域遍布全国27个省市，产量跃居全球第二位，受到社会各界广泛关注，极大地促进了区域经济发展。国家战略引导、省部级政策扶持、科研院所的技术支持、地方招商引资优惠政策等全方位的扶持，使大量优质的人力、科技和资本有序地注入到蓝莓产业中，推动了我国蓝莓产业的快速发展。健康的消费理念和生活方式以及人均消费水平的提高，为蓝莓产业提供了广阔的发展市场和前景。</w:t>
      </w:r>
      <w:r>
        <w:rPr>
          <w:rFonts w:hint="eastAsia" w:ascii="仿宋_GB2312" w:hAnsi="宋体" w:cs="宋体"/>
          <w:sz w:val="32"/>
          <w:szCs w:val="32"/>
        </w:rPr>
        <w:t>根据中国优质农产品开发服务协会预测，中国蓝莓产业将在</w:t>
      </w:r>
      <w:r>
        <w:rPr>
          <w:rFonts w:ascii="仿宋_GB2312" w:hAnsi="宋体" w:cs="宋体"/>
          <w:sz w:val="32"/>
          <w:szCs w:val="32"/>
        </w:rPr>
        <w:t>10年里成为世界蓝莓产业的技术、研发和市场中心，蓝莓产量有望突破100万吨，种植面积或近200万亩，整体产值约1000亿元。</w:t>
      </w:r>
    </w:p>
    <w:bookmarkEnd w:id="39"/>
    <w:bookmarkEnd w:id="45"/>
    <w:bookmarkEnd w:id="46"/>
    <w:p>
      <w:pPr>
        <w:spacing w:line="580" w:lineRule="exact"/>
        <w:ind w:firstLine="880" w:firstLineChars="200"/>
        <w:rPr>
          <w:rFonts w:ascii="仿宋_GB2312" w:hAnsi="宋体" w:cs="宋体"/>
          <w:sz w:val="32"/>
          <w:szCs w:val="32"/>
        </w:rPr>
      </w:pPr>
      <w:r>
        <w:rPr>
          <w:rFonts w:ascii="方正小标宋简体" w:hAnsi="宋体" w:eastAsia="方正小标宋简体" w:cs="宋体"/>
          <w:color w:val="000000" w:themeColor="text1"/>
          <w:sz w:val="44"/>
          <w14:textFill>
            <w14:solidFill>
              <w14:schemeClr w14:val="tx1"/>
            </w14:solidFill>
          </w14:textFill>
        </w:rPr>
        <w:br w:type="page"/>
      </w: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54" w:name="_Toc76569949"/>
      <w:bookmarkStart w:id="55" w:name="_Toc76570170"/>
      <w:bookmarkStart w:id="56" w:name="_Toc78441344"/>
      <w:r>
        <w:rPr>
          <w:rFonts w:hint="eastAsia" w:ascii="方正小标宋简体" w:hAnsi="宋体" w:eastAsia="方正小标宋简体" w:cs="宋体"/>
          <w:color w:val="000000" w:themeColor="text1"/>
          <w:sz w:val="44"/>
          <w14:textFill>
            <w14:solidFill>
              <w14:schemeClr w14:val="tx1"/>
            </w14:solidFill>
          </w14:textFill>
        </w:rPr>
        <w:t>第五章 项目盈利能力</w:t>
      </w:r>
      <w:bookmarkEnd w:id="54"/>
      <w:bookmarkEnd w:id="55"/>
      <w:bookmarkEnd w:id="56"/>
    </w:p>
    <w:p>
      <w:pPr>
        <w:spacing w:line="580" w:lineRule="exact"/>
        <w:rPr>
          <w:rFonts w:ascii="方正小标宋简体" w:eastAsia="方正小标宋简体"/>
          <w:sz w:val="44"/>
          <w:szCs w:val="44"/>
        </w:rPr>
      </w:pPr>
      <w:bookmarkStart w:id="57" w:name="_Toc76569950"/>
      <w:bookmarkStart w:id="58" w:name="_Toc76570171"/>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59" w:name="_Toc78441345"/>
      <w:r>
        <w:rPr>
          <w:rFonts w:hint="eastAsia" w:ascii="黑体" w:hAnsi="黑体" w:eastAsia="黑体" w:cs="宋体"/>
          <w:color w:val="000000" w:themeColor="text1"/>
          <w:sz w:val="32"/>
          <w14:textFill>
            <w14:solidFill>
              <w14:schemeClr w14:val="tx1"/>
            </w14:solidFill>
          </w14:textFill>
        </w:rPr>
        <w:t>一、项目投资估算</w:t>
      </w:r>
      <w:bookmarkEnd w:id="57"/>
      <w:bookmarkEnd w:id="58"/>
      <w:bookmarkEnd w:id="59"/>
    </w:p>
    <w:p>
      <w:pPr>
        <w:spacing w:line="580" w:lineRule="exact"/>
        <w:ind w:firstLine="640"/>
        <w:rPr>
          <w:rFonts w:ascii="仿宋_GB2312" w:cs="宋体"/>
          <w:sz w:val="32"/>
          <w:szCs w:val="32"/>
        </w:rPr>
      </w:pPr>
      <w:r>
        <w:rPr>
          <w:rFonts w:hint="eastAsia" w:ascii="仿宋_GB2312" w:cs="宋体"/>
          <w:sz w:val="32"/>
          <w:szCs w:val="32"/>
        </w:rPr>
        <w:t>项目预期投资包括土地租金、整地及土壤改良、苗木定植、土壤覆盖、修剪、施肥、灌水、除草、病虫害防治、管理费和配套管理用房建设、装修费。</w:t>
      </w:r>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土地租金</w:t>
      </w:r>
      <w:r>
        <w:rPr>
          <w:rFonts w:hint="eastAsia" w:ascii="仿宋_GB2312" w:hAnsi="宋体" w:cs="宋体"/>
          <w:sz w:val="32"/>
          <w:szCs w:val="32"/>
        </w:rPr>
        <w:t>：项目用地面积10</w:t>
      </w:r>
      <w:r>
        <w:rPr>
          <w:rFonts w:ascii="仿宋_GB2312" w:hAnsi="宋体" w:cs="宋体"/>
          <w:sz w:val="32"/>
          <w:szCs w:val="32"/>
        </w:rPr>
        <w:t>00</w:t>
      </w:r>
      <w:r>
        <w:rPr>
          <w:rFonts w:hint="eastAsia" w:ascii="仿宋_GB2312" w:hAnsi="宋体" w:cs="宋体"/>
          <w:sz w:val="32"/>
          <w:szCs w:val="32"/>
        </w:rPr>
        <w:t>亩，土地承包租金为</w:t>
      </w:r>
      <w:r>
        <w:rPr>
          <w:rFonts w:ascii="仿宋_GB2312" w:hAnsi="宋体" w:cs="宋体"/>
          <w:sz w:val="32"/>
          <w:szCs w:val="32"/>
        </w:rPr>
        <w:t>4</w:t>
      </w:r>
      <w:r>
        <w:rPr>
          <w:rFonts w:hint="eastAsia" w:ascii="仿宋_GB2312" w:hAnsi="宋体" w:cs="宋体"/>
          <w:sz w:val="32"/>
          <w:szCs w:val="32"/>
        </w:rPr>
        <w:t>00元/亩，则10</w:t>
      </w:r>
      <w:r>
        <w:rPr>
          <w:rFonts w:ascii="仿宋_GB2312" w:hAnsi="宋体" w:cs="宋体"/>
          <w:sz w:val="32"/>
          <w:szCs w:val="32"/>
        </w:rPr>
        <w:t>00</w:t>
      </w:r>
      <w:r>
        <w:rPr>
          <w:rFonts w:hint="eastAsia" w:ascii="仿宋_GB2312" w:hAnsi="宋体" w:cs="宋体"/>
          <w:sz w:val="32"/>
          <w:szCs w:val="32"/>
        </w:rPr>
        <w:t>亩土地每年租金为</w:t>
      </w:r>
      <w:r>
        <w:rPr>
          <w:rFonts w:ascii="仿宋_GB2312" w:hAnsi="宋体" w:cs="宋体"/>
          <w:sz w:val="32"/>
          <w:szCs w:val="32"/>
        </w:rPr>
        <w:t>40</w:t>
      </w:r>
      <w:r>
        <w:rPr>
          <w:rFonts w:hint="eastAsia" w:ascii="仿宋_GB2312" w:hAnsi="宋体" w:cs="宋体"/>
          <w:sz w:val="32"/>
          <w:szCs w:val="32"/>
        </w:rPr>
        <w:t>万元，投产前3年土地租金共计</w:t>
      </w:r>
      <w:r>
        <w:rPr>
          <w:rFonts w:ascii="仿宋_GB2312" w:hAnsi="宋体" w:cs="宋体"/>
          <w:sz w:val="32"/>
          <w:szCs w:val="32"/>
        </w:rPr>
        <w:t>120</w:t>
      </w:r>
      <w:r>
        <w:rPr>
          <w:rFonts w:hint="eastAsia" w:ascii="仿宋_GB2312" w:hAnsi="宋体" w:cs="宋体"/>
          <w:sz w:val="32"/>
          <w:szCs w:val="32"/>
        </w:rPr>
        <w:t>万元。</w:t>
      </w:r>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整地及土壤改良</w:t>
      </w:r>
      <w:r>
        <w:rPr>
          <w:rFonts w:hint="eastAsia" w:ascii="仿宋_GB2312" w:hAnsi="宋体" w:cs="宋体"/>
          <w:sz w:val="32"/>
          <w:szCs w:val="32"/>
        </w:rPr>
        <w:t>：对土地进行翻耕平整及土壤改良，预计每亩蓝莓整地及土壤改良需投入</w:t>
      </w:r>
      <w:r>
        <w:rPr>
          <w:rFonts w:ascii="仿宋_GB2312" w:hAnsi="宋体" w:cs="宋体"/>
          <w:sz w:val="32"/>
          <w:szCs w:val="32"/>
        </w:rPr>
        <w:t>3000</w:t>
      </w:r>
      <w:r>
        <w:rPr>
          <w:rFonts w:hint="eastAsia" w:ascii="仿宋_GB2312" w:hAnsi="宋体" w:cs="宋体"/>
          <w:sz w:val="32"/>
          <w:szCs w:val="32"/>
        </w:rPr>
        <w:t>元，则10</w:t>
      </w:r>
      <w:r>
        <w:rPr>
          <w:rFonts w:ascii="仿宋_GB2312" w:hAnsi="宋体" w:cs="宋体"/>
          <w:sz w:val="32"/>
          <w:szCs w:val="32"/>
        </w:rPr>
        <w:t>00</w:t>
      </w:r>
      <w:r>
        <w:rPr>
          <w:rFonts w:hint="eastAsia" w:ascii="仿宋_GB2312" w:hAnsi="宋体" w:cs="宋体"/>
          <w:sz w:val="32"/>
          <w:szCs w:val="32"/>
        </w:rPr>
        <w:t>亩茶园耕整开厢共计投入</w:t>
      </w:r>
      <w:r>
        <w:rPr>
          <w:rFonts w:ascii="仿宋_GB2312" w:hAnsi="宋体" w:cs="宋体"/>
          <w:sz w:val="32"/>
          <w:szCs w:val="32"/>
        </w:rPr>
        <w:t>300</w:t>
      </w:r>
      <w:r>
        <w:rPr>
          <w:rFonts w:hint="eastAsia" w:ascii="仿宋_GB2312" w:hAnsi="宋体" w:cs="宋体"/>
          <w:sz w:val="32"/>
          <w:szCs w:val="32"/>
        </w:rPr>
        <w:t>万元。</w:t>
      </w:r>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苗木定植</w:t>
      </w:r>
      <w:r>
        <w:rPr>
          <w:rFonts w:hint="eastAsia" w:ascii="仿宋_GB2312" w:hAnsi="宋体" w:cs="宋体"/>
          <w:sz w:val="32"/>
          <w:szCs w:val="32"/>
        </w:rPr>
        <w:t>：整地结束后就需对园地进行起垄栽植，将蓝莓苗栽植在垄背上。预计每亩蓝莓苗木定植需投入</w:t>
      </w:r>
      <w:r>
        <w:rPr>
          <w:rFonts w:ascii="仿宋_GB2312" w:hAnsi="宋体" w:cs="宋体"/>
          <w:sz w:val="32"/>
          <w:szCs w:val="32"/>
        </w:rPr>
        <w:t>10000</w:t>
      </w:r>
      <w:r>
        <w:rPr>
          <w:rFonts w:hint="eastAsia" w:ascii="仿宋_GB2312" w:hAnsi="宋体" w:cs="宋体"/>
          <w:sz w:val="32"/>
          <w:szCs w:val="32"/>
        </w:rPr>
        <w:t>元，则10</w:t>
      </w:r>
      <w:r>
        <w:rPr>
          <w:rFonts w:ascii="仿宋_GB2312" w:hAnsi="宋体" w:cs="宋体"/>
          <w:sz w:val="32"/>
          <w:szCs w:val="32"/>
        </w:rPr>
        <w:t>00</w:t>
      </w:r>
      <w:r>
        <w:rPr>
          <w:rFonts w:hint="eastAsia" w:ascii="仿宋_GB2312" w:hAnsi="宋体" w:cs="宋体"/>
          <w:sz w:val="32"/>
          <w:szCs w:val="32"/>
        </w:rPr>
        <w:t>亩茶园投产前3年苗木定植共计投入</w:t>
      </w:r>
      <w:r>
        <w:rPr>
          <w:rFonts w:ascii="仿宋_GB2312" w:hAnsi="宋体" w:cs="宋体"/>
          <w:sz w:val="32"/>
          <w:szCs w:val="32"/>
        </w:rPr>
        <w:t>1000</w:t>
      </w:r>
      <w:r>
        <w:rPr>
          <w:rFonts w:hint="eastAsia" w:ascii="仿宋_GB2312" w:hAnsi="宋体" w:cs="宋体"/>
          <w:sz w:val="32"/>
          <w:szCs w:val="32"/>
        </w:rPr>
        <w:t>万元。</w:t>
      </w:r>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土壤覆盖</w:t>
      </w:r>
      <w:r>
        <w:rPr>
          <w:rFonts w:hint="eastAsia" w:ascii="仿宋_GB2312" w:hAnsi="宋体" w:cs="宋体"/>
          <w:sz w:val="32"/>
          <w:szCs w:val="32"/>
        </w:rPr>
        <w:t>：给矮丛蓝莓土壤覆盖</w:t>
      </w:r>
      <w:r>
        <w:rPr>
          <w:rFonts w:ascii="仿宋_GB2312" w:hAnsi="宋体" w:cs="宋体"/>
          <w:sz w:val="32"/>
          <w:szCs w:val="32"/>
        </w:rPr>
        <w:t>锯末</w:t>
      </w:r>
      <w:r>
        <w:rPr>
          <w:rFonts w:hint="eastAsia" w:ascii="仿宋_GB2312" w:hAnsi="宋体" w:cs="宋体"/>
          <w:sz w:val="32"/>
          <w:szCs w:val="32"/>
        </w:rPr>
        <w:t>、</w:t>
      </w:r>
      <w:r>
        <w:rPr>
          <w:rFonts w:ascii="仿宋_GB2312" w:hAnsi="宋体" w:cs="宋体"/>
          <w:sz w:val="32"/>
          <w:szCs w:val="32"/>
        </w:rPr>
        <w:t>树叶及其他作物秸秆。</w:t>
      </w:r>
      <w:r>
        <w:rPr>
          <w:rFonts w:hint="eastAsia" w:ascii="仿宋_GB2312" w:hAnsi="宋体" w:cs="宋体"/>
          <w:sz w:val="32"/>
          <w:szCs w:val="32"/>
        </w:rPr>
        <w:t>预计每亩蓝莓土壤覆盖需投入</w:t>
      </w:r>
      <w:r>
        <w:rPr>
          <w:rFonts w:ascii="仿宋_GB2312" w:hAnsi="宋体" w:cs="宋体"/>
          <w:sz w:val="32"/>
          <w:szCs w:val="32"/>
        </w:rPr>
        <w:t>2000元，则1000亩茶园投产前3年苗木定植共计投入200万元。</w:t>
      </w:r>
    </w:p>
    <w:p>
      <w:pPr>
        <w:spacing w:line="580" w:lineRule="exact"/>
        <w:ind w:firstLine="643" w:firstLineChars="200"/>
        <w:rPr>
          <w:rFonts w:ascii="仿宋_GB2312" w:hAnsi="宋体" w:cs="宋体"/>
          <w:sz w:val="32"/>
          <w:szCs w:val="32"/>
        </w:rPr>
      </w:pPr>
      <w:bookmarkStart w:id="60" w:name="_Hlk76138998"/>
      <w:r>
        <w:rPr>
          <w:rFonts w:hint="eastAsia" w:ascii="仿宋_GB2312" w:hAnsi="宋体" w:cs="宋体"/>
          <w:b/>
          <w:bCs/>
          <w:sz w:val="32"/>
          <w:szCs w:val="32"/>
        </w:rPr>
        <w:t>修剪、施肥、灌水、除草、病虫害防治</w:t>
      </w:r>
      <w:bookmarkEnd w:id="60"/>
      <w:r>
        <w:rPr>
          <w:rFonts w:hint="eastAsia" w:ascii="仿宋_GB2312" w:hAnsi="宋体" w:cs="宋体"/>
          <w:sz w:val="32"/>
          <w:szCs w:val="32"/>
        </w:rPr>
        <w:t>：蓝莓种植需要精心照料，预计每亩修剪、施肥、灌水、除草、病虫害防治费为</w:t>
      </w:r>
      <w:r>
        <w:rPr>
          <w:rFonts w:ascii="仿宋_GB2312" w:hAnsi="宋体" w:cs="宋体"/>
          <w:sz w:val="32"/>
          <w:szCs w:val="32"/>
        </w:rPr>
        <w:t>7000</w:t>
      </w:r>
      <w:r>
        <w:rPr>
          <w:rFonts w:hint="eastAsia" w:ascii="仿宋_GB2312" w:hAnsi="宋体" w:cs="宋体"/>
          <w:sz w:val="32"/>
          <w:szCs w:val="32"/>
        </w:rPr>
        <w:t>元，则10</w:t>
      </w:r>
      <w:r>
        <w:rPr>
          <w:rFonts w:ascii="仿宋_GB2312" w:hAnsi="宋体" w:cs="宋体"/>
          <w:sz w:val="32"/>
          <w:szCs w:val="32"/>
        </w:rPr>
        <w:t>00</w:t>
      </w:r>
      <w:r>
        <w:rPr>
          <w:rFonts w:hint="eastAsia" w:ascii="仿宋_GB2312" w:hAnsi="宋体" w:cs="宋体"/>
          <w:sz w:val="32"/>
          <w:szCs w:val="32"/>
        </w:rPr>
        <w:t>亩蓝莓投产前3年修剪、施肥、灌水、除草、病虫害防治共计投入</w:t>
      </w:r>
      <w:r>
        <w:rPr>
          <w:rFonts w:ascii="仿宋_GB2312" w:hAnsi="宋体" w:cs="宋体"/>
          <w:sz w:val="32"/>
          <w:szCs w:val="32"/>
        </w:rPr>
        <w:t>700</w:t>
      </w:r>
      <w:r>
        <w:rPr>
          <w:rFonts w:hint="eastAsia" w:ascii="仿宋_GB2312" w:hAnsi="宋体" w:cs="宋体"/>
          <w:sz w:val="32"/>
          <w:szCs w:val="32"/>
        </w:rPr>
        <w:t>万元。</w:t>
      </w:r>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管理费</w:t>
      </w:r>
      <w:r>
        <w:rPr>
          <w:rFonts w:hint="eastAsia" w:ascii="仿宋_GB2312" w:hAnsi="宋体" w:cs="宋体"/>
          <w:sz w:val="32"/>
          <w:szCs w:val="32"/>
        </w:rPr>
        <w:t>：聘请专业人员对蓝莓种植进行管理，预计每亩蓝莓管理费为</w:t>
      </w:r>
      <w:r>
        <w:rPr>
          <w:rFonts w:ascii="仿宋_GB2312" w:hAnsi="宋体" w:cs="宋体"/>
          <w:sz w:val="32"/>
          <w:szCs w:val="32"/>
        </w:rPr>
        <w:t>5800</w:t>
      </w:r>
      <w:r>
        <w:rPr>
          <w:rFonts w:hint="eastAsia" w:ascii="仿宋_GB2312" w:hAnsi="宋体" w:cs="宋体"/>
          <w:sz w:val="32"/>
          <w:szCs w:val="32"/>
        </w:rPr>
        <w:t>元，则10</w:t>
      </w:r>
      <w:r>
        <w:rPr>
          <w:rFonts w:ascii="仿宋_GB2312" w:hAnsi="宋体" w:cs="宋体"/>
          <w:sz w:val="32"/>
          <w:szCs w:val="32"/>
        </w:rPr>
        <w:t>00</w:t>
      </w:r>
      <w:r>
        <w:rPr>
          <w:rFonts w:hint="eastAsia" w:ascii="仿宋_GB2312" w:hAnsi="宋体" w:cs="宋体"/>
          <w:sz w:val="32"/>
          <w:szCs w:val="32"/>
        </w:rPr>
        <w:t>亩茶园投产前3年管理费共计投入</w:t>
      </w:r>
      <w:r>
        <w:rPr>
          <w:rFonts w:ascii="仿宋_GB2312" w:hAnsi="宋体" w:cs="宋体"/>
          <w:sz w:val="32"/>
          <w:szCs w:val="32"/>
        </w:rPr>
        <w:t>580</w:t>
      </w:r>
      <w:r>
        <w:rPr>
          <w:rFonts w:hint="eastAsia" w:ascii="仿宋_GB2312" w:hAnsi="宋体" w:cs="宋体"/>
          <w:sz w:val="32"/>
          <w:szCs w:val="32"/>
        </w:rPr>
        <w:t>万元。</w:t>
      </w:r>
    </w:p>
    <w:p>
      <w:pPr>
        <w:spacing w:line="580" w:lineRule="exact"/>
        <w:ind w:firstLine="643" w:firstLineChars="200"/>
        <w:rPr>
          <w:rFonts w:ascii="仿宋_GB2312" w:hAnsi="宋体" w:cs="宋体"/>
          <w:sz w:val="32"/>
          <w:szCs w:val="32"/>
        </w:rPr>
      </w:pPr>
      <w:r>
        <w:rPr>
          <w:rFonts w:hint="eastAsia" w:ascii="仿宋_GB2312" w:hAnsi="宋体" w:cs="宋体"/>
          <w:b/>
          <w:bCs/>
          <w:sz w:val="32"/>
          <w:szCs w:val="32"/>
        </w:rPr>
        <w:t>配套管理用房：</w:t>
      </w:r>
      <w:r>
        <w:rPr>
          <w:rFonts w:hint="eastAsia" w:ascii="仿宋_GB2312" w:hAnsi="宋体" w:cs="宋体"/>
          <w:sz w:val="32"/>
          <w:szCs w:val="32"/>
        </w:rPr>
        <w:t>建筑平均成本按照每平方米2</w:t>
      </w:r>
      <w:r>
        <w:rPr>
          <w:rFonts w:ascii="仿宋_GB2312" w:hAnsi="宋体" w:cs="宋体"/>
          <w:sz w:val="32"/>
          <w:szCs w:val="32"/>
        </w:rPr>
        <w:t>000</w:t>
      </w:r>
      <w:r>
        <w:rPr>
          <w:rFonts w:hint="eastAsia" w:ascii="仿宋_GB2312" w:hAnsi="宋体" w:cs="宋体"/>
          <w:sz w:val="32"/>
          <w:szCs w:val="32"/>
        </w:rPr>
        <w:t>元计，5</w:t>
      </w:r>
      <w:r>
        <w:rPr>
          <w:rFonts w:ascii="仿宋_GB2312" w:hAnsi="宋体" w:cs="宋体"/>
          <w:sz w:val="32"/>
          <w:szCs w:val="32"/>
        </w:rPr>
        <w:t>00</w:t>
      </w:r>
      <w:r>
        <w:rPr>
          <w:rFonts w:hint="eastAsia" w:ascii="仿宋_GB2312" w:hAnsi="宋体" w:cs="宋体"/>
          <w:sz w:val="32"/>
          <w:szCs w:val="32"/>
        </w:rPr>
        <w:t>平配套管理用房约1</w:t>
      </w:r>
      <w:r>
        <w:rPr>
          <w:rFonts w:ascii="仿宋_GB2312" w:hAnsi="宋体" w:cs="宋体"/>
          <w:sz w:val="32"/>
          <w:szCs w:val="32"/>
        </w:rPr>
        <w:t>00</w:t>
      </w:r>
      <w:r>
        <w:rPr>
          <w:rFonts w:hint="eastAsia" w:ascii="仿宋_GB2312" w:hAnsi="宋体" w:cs="宋体"/>
          <w:sz w:val="32"/>
          <w:szCs w:val="32"/>
        </w:rPr>
        <w:t>万元。</w:t>
      </w:r>
    </w:p>
    <w:p>
      <w:pPr>
        <w:spacing w:line="580" w:lineRule="exact"/>
        <w:ind w:firstLine="640"/>
        <w:rPr>
          <w:rFonts w:ascii="仿宋_GB2312" w:cs="宋体"/>
          <w:sz w:val="32"/>
          <w:szCs w:val="32"/>
        </w:rPr>
      </w:pPr>
      <w:r>
        <w:rPr>
          <w:rFonts w:hint="eastAsia" w:ascii="仿宋_GB2312" w:cs="宋体"/>
          <w:sz w:val="32"/>
          <w:szCs w:val="32"/>
        </w:rPr>
        <w:t>项目总预期投资为</w:t>
      </w:r>
      <w:r>
        <w:rPr>
          <w:rFonts w:ascii="仿宋_GB2312" w:cs="宋体"/>
          <w:sz w:val="32"/>
          <w:szCs w:val="32"/>
        </w:rPr>
        <w:t>3000万元。</w:t>
      </w:r>
    </w:p>
    <w:p>
      <w:pPr>
        <w:spacing w:line="580" w:lineRule="exact"/>
        <w:jc w:val="center"/>
        <w:rPr>
          <w:rFonts w:ascii="仿宋_GB2312" w:cs="宋体"/>
          <w:b/>
          <w:szCs w:val="28"/>
        </w:rPr>
      </w:pPr>
      <w:r>
        <w:rPr>
          <w:rFonts w:hint="eastAsia" w:ascii="仿宋_GB2312" w:cs="宋体"/>
          <w:b/>
          <w:szCs w:val="28"/>
        </w:rPr>
        <w:t>图表 1</w:t>
      </w:r>
      <w:r>
        <w:rPr>
          <w:rFonts w:ascii="仿宋_GB2312" w:cs="宋体"/>
          <w:b/>
          <w:szCs w:val="28"/>
        </w:rPr>
        <w:t>4</w:t>
      </w:r>
      <w:r>
        <w:rPr>
          <w:rFonts w:hint="eastAsia" w:ascii="仿宋_GB2312" w:cs="宋体"/>
          <w:b/>
          <w:szCs w:val="28"/>
        </w:rPr>
        <w:t xml:space="preserve">  项目投资估算</w:t>
      </w:r>
    </w:p>
    <w:tbl>
      <w:tblPr>
        <w:tblStyle w:val="15"/>
        <w:tblW w:w="5000" w:type="pct"/>
        <w:tblInd w:w="0"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autofit"/>
        <w:tblCellMar>
          <w:top w:w="0" w:type="dxa"/>
          <w:left w:w="108" w:type="dxa"/>
          <w:bottom w:w="0" w:type="dxa"/>
          <w:right w:w="108" w:type="dxa"/>
        </w:tblCellMar>
      </w:tblPr>
      <w:tblGrid>
        <w:gridCol w:w="5751"/>
        <w:gridCol w:w="3309"/>
      </w:tblGrid>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05" w:hRule="atLeast"/>
        </w:trPr>
        <w:tc>
          <w:tcPr>
            <w:tcW w:w="3174" w:type="pct"/>
            <w:tcBorders>
              <w:right w:val="single" w:color="FFFFFF" w:sz="4" w:space="0"/>
            </w:tcBorders>
            <w:shd w:val="clear" w:color="auto" w:fill="4472C4" w:themeFill="accent1"/>
            <w:noWrap/>
            <w:vAlign w:val="center"/>
          </w:tcPr>
          <w:p>
            <w:pPr>
              <w:spacing w:line="440" w:lineRule="exact"/>
              <w:jc w:val="center"/>
              <w:rPr>
                <w:rFonts w:ascii="黑体" w:hAnsi="黑体" w:eastAsia="黑体" w:cs="宋体"/>
                <w:color w:val="FFFFFF"/>
                <w:szCs w:val="28"/>
              </w:rPr>
            </w:pPr>
            <w:r>
              <w:rPr>
                <w:rFonts w:hint="eastAsia" w:ascii="黑体" w:hAnsi="黑体" w:eastAsia="黑体" w:cs="宋体"/>
                <w:color w:val="FFFFFF"/>
                <w:szCs w:val="28"/>
              </w:rPr>
              <w:t>投资内容</w:t>
            </w:r>
          </w:p>
        </w:tc>
        <w:tc>
          <w:tcPr>
            <w:tcW w:w="1826" w:type="pct"/>
            <w:tcBorders>
              <w:left w:val="single" w:color="FFFFFF" w:sz="4" w:space="0"/>
              <w:right w:val="single" w:color="FFFFFF" w:sz="4" w:space="0"/>
            </w:tcBorders>
            <w:shd w:val="clear" w:color="auto" w:fill="4472C4" w:themeFill="accent1"/>
            <w:noWrap/>
            <w:vAlign w:val="center"/>
          </w:tcPr>
          <w:p>
            <w:pPr>
              <w:spacing w:line="440" w:lineRule="exact"/>
              <w:jc w:val="center"/>
              <w:rPr>
                <w:rFonts w:ascii="黑体" w:hAnsi="黑体" w:eastAsia="黑体" w:cs="宋体"/>
                <w:color w:val="FFFFFF"/>
                <w:szCs w:val="28"/>
              </w:rPr>
            </w:pPr>
            <w:r>
              <w:rPr>
                <w:rFonts w:hint="eastAsia" w:ascii="黑体" w:hAnsi="黑体" w:eastAsia="黑体" w:cs="宋体"/>
                <w:color w:val="FFFFFF"/>
                <w:szCs w:val="28"/>
              </w:rPr>
              <w:t>金额（万元）</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73"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土地租金</w:t>
            </w:r>
          </w:p>
        </w:tc>
        <w:tc>
          <w:tcPr>
            <w:tcW w:w="1826" w:type="pct"/>
            <w:shd w:val="clear" w:color="auto" w:fill="auto"/>
            <w:noWrap/>
            <w:vAlign w:val="bottom"/>
          </w:tcPr>
          <w:p>
            <w:pPr>
              <w:spacing w:line="440" w:lineRule="exact"/>
              <w:jc w:val="center"/>
              <w:rPr>
                <w:rFonts w:ascii="仿宋_GB2312" w:cs="宋体"/>
                <w:color w:val="000000"/>
                <w:szCs w:val="28"/>
              </w:rPr>
            </w:pPr>
            <w:r>
              <w:rPr>
                <w:rFonts w:ascii="仿宋_GB2312" w:hAnsi="宋体" w:cs="宋体"/>
                <w:szCs w:val="28"/>
              </w:rPr>
              <w:t>120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整地及土壤改良</w:t>
            </w:r>
          </w:p>
        </w:tc>
        <w:tc>
          <w:tcPr>
            <w:tcW w:w="1826" w:type="pct"/>
            <w:shd w:val="clear" w:color="auto" w:fill="auto"/>
            <w:noWrap/>
            <w:vAlign w:val="bottom"/>
          </w:tcPr>
          <w:p>
            <w:pPr>
              <w:spacing w:line="440" w:lineRule="exact"/>
              <w:jc w:val="center"/>
              <w:rPr>
                <w:rFonts w:ascii="仿宋_GB2312" w:cs="宋体"/>
                <w:color w:val="000000"/>
                <w:szCs w:val="28"/>
              </w:rPr>
            </w:pPr>
            <w:r>
              <w:rPr>
                <w:rFonts w:ascii="仿宋_GB2312" w:cs="宋体"/>
                <w:color w:val="000000"/>
                <w:szCs w:val="28"/>
              </w:rPr>
              <w:t>300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苗木定植</w:t>
            </w:r>
          </w:p>
        </w:tc>
        <w:tc>
          <w:tcPr>
            <w:tcW w:w="1826" w:type="pct"/>
            <w:shd w:val="clear" w:color="auto" w:fill="auto"/>
            <w:noWrap/>
            <w:vAlign w:val="bottom"/>
          </w:tcPr>
          <w:p>
            <w:pPr>
              <w:spacing w:line="440" w:lineRule="exact"/>
              <w:jc w:val="center"/>
              <w:rPr>
                <w:rFonts w:ascii="仿宋_GB2312" w:cs="宋体"/>
                <w:color w:val="000000"/>
                <w:szCs w:val="28"/>
              </w:rPr>
            </w:pPr>
            <w:r>
              <w:rPr>
                <w:rFonts w:ascii="仿宋_GB2312" w:cs="宋体"/>
                <w:color w:val="000000"/>
                <w:szCs w:val="28"/>
              </w:rPr>
              <w:t>1000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土壤覆盖</w:t>
            </w:r>
          </w:p>
        </w:tc>
        <w:tc>
          <w:tcPr>
            <w:tcW w:w="1826" w:type="pct"/>
            <w:shd w:val="clear" w:color="auto" w:fill="auto"/>
            <w:noWrap/>
            <w:vAlign w:val="bottom"/>
          </w:tcPr>
          <w:p>
            <w:pPr>
              <w:spacing w:line="440" w:lineRule="exact"/>
              <w:jc w:val="center"/>
              <w:rPr>
                <w:rFonts w:ascii="仿宋_GB2312" w:cs="宋体"/>
                <w:color w:val="000000"/>
                <w:szCs w:val="28"/>
              </w:rPr>
            </w:pPr>
            <w:r>
              <w:rPr>
                <w:rFonts w:ascii="仿宋_GB2312" w:cs="宋体"/>
                <w:color w:val="000000"/>
                <w:szCs w:val="28"/>
              </w:rPr>
              <w:t>200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修剪、施肥、灌水、除草、病虫害防治</w:t>
            </w:r>
          </w:p>
        </w:tc>
        <w:tc>
          <w:tcPr>
            <w:tcW w:w="1826" w:type="pct"/>
            <w:shd w:val="clear" w:color="auto" w:fill="auto"/>
            <w:noWrap/>
            <w:vAlign w:val="bottom"/>
          </w:tcPr>
          <w:p>
            <w:pPr>
              <w:spacing w:line="440" w:lineRule="exact"/>
              <w:jc w:val="center"/>
              <w:rPr>
                <w:rFonts w:ascii="仿宋_GB2312" w:cs="宋体"/>
                <w:color w:val="000000"/>
                <w:szCs w:val="28"/>
              </w:rPr>
            </w:pPr>
            <w:r>
              <w:rPr>
                <w:rFonts w:ascii="仿宋_GB2312" w:cs="宋体"/>
                <w:color w:val="000000"/>
                <w:szCs w:val="28"/>
              </w:rPr>
              <w:t>700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管理费</w:t>
            </w:r>
          </w:p>
        </w:tc>
        <w:tc>
          <w:tcPr>
            <w:tcW w:w="1826" w:type="pct"/>
            <w:shd w:val="clear" w:color="auto" w:fill="auto"/>
            <w:noWrap/>
            <w:vAlign w:val="center"/>
          </w:tcPr>
          <w:p>
            <w:pPr>
              <w:spacing w:line="440" w:lineRule="exact"/>
              <w:jc w:val="center"/>
              <w:rPr>
                <w:rFonts w:ascii="仿宋_GB2312" w:cs="宋体"/>
                <w:color w:val="000000"/>
                <w:szCs w:val="28"/>
              </w:rPr>
            </w:pPr>
            <w:r>
              <w:rPr>
                <w:rFonts w:ascii="仿宋_GB2312" w:cs="宋体"/>
                <w:color w:val="000000"/>
                <w:szCs w:val="28"/>
              </w:rPr>
              <w:t>580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配套管理用房</w:t>
            </w:r>
          </w:p>
        </w:tc>
        <w:tc>
          <w:tcPr>
            <w:tcW w:w="1826"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1</w:t>
            </w:r>
            <w:r>
              <w:rPr>
                <w:rFonts w:ascii="仿宋_GB2312" w:cs="宋体"/>
                <w:color w:val="000000"/>
                <w:szCs w:val="28"/>
              </w:rPr>
              <w:t>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285" w:hRule="atLeast"/>
        </w:trPr>
        <w:tc>
          <w:tcPr>
            <w:tcW w:w="3174" w:type="pct"/>
            <w:shd w:val="clear" w:color="auto" w:fill="auto"/>
            <w:noWrap/>
            <w:vAlign w:val="center"/>
          </w:tcPr>
          <w:p>
            <w:pPr>
              <w:spacing w:line="440" w:lineRule="exact"/>
              <w:jc w:val="center"/>
              <w:rPr>
                <w:rFonts w:ascii="仿宋_GB2312" w:cs="宋体"/>
                <w:color w:val="000000"/>
                <w:szCs w:val="28"/>
              </w:rPr>
            </w:pPr>
            <w:r>
              <w:rPr>
                <w:rFonts w:hint="eastAsia" w:ascii="仿宋_GB2312" w:cs="宋体"/>
                <w:color w:val="000000"/>
                <w:szCs w:val="28"/>
              </w:rPr>
              <w:t>合计</w:t>
            </w:r>
          </w:p>
        </w:tc>
        <w:tc>
          <w:tcPr>
            <w:tcW w:w="1826" w:type="pct"/>
            <w:shd w:val="clear" w:color="auto" w:fill="auto"/>
            <w:noWrap/>
            <w:vAlign w:val="bottom"/>
          </w:tcPr>
          <w:p>
            <w:pPr>
              <w:spacing w:line="440" w:lineRule="exact"/>
              <w:jc w:val="center"/>
              <w:rPr>
                <w:rFonts w:ascii="仿宋_GB2312" w:cs="宋体"/>
                <w:color w:val="000000"/>
                <w:szCs w:val="28"/>
              </w:rPr>
            </w:pPr>
            <w:r>
              <w:rPr>
                <w:rFonts w:ascii="仿宋_GB2312" w:cs="宋体"/>
                <w:color w:val="000000"/>
                <w:szCs w:val="28"/>
              </w:rPr>
              <w:t>3000</w:t>
            </w:r>
          </w:p>
        </w:tc>
      </w:tr>
    </w:tbl>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61" w:name="_Toc27900"/>
      <w:bookmarkStart w:id="62" w:name="_Toc76733618"/>
      <w:bookmarkStart w:id="63" w:name="_Toc78441346"/>
      <w:r>
        <w:rPr>
          <w:rFonts w:hint="eastAsia" w:ascii="黑体" w:hAnsi="黑体" w:eastAsia="黑体" w:cs="宋体"/>
          <w:color w:val="000000" w:themeColor="text1"/>
          <w:sz w:val="32"/>
          <w14:textFill>
            <w14:solidFill>
              <w14:schemeClr w14:val="tx1"/>
            </w14:solidFill>
          </w14:textFill>
        </w:rPr>
        <w:t>二、项目效益分析</w:t>
      </w:r>
      <w:bookmarkEnd w:id="61"/>
      <w:bookmarkEnd w:id="62"/>
      <w:bookmarkEnd w:id="63"/>
    </w:p>
    <w:p>
      <w:pPr>
        <w:spacing w:line="580" w:lineRule="exact"/>
        <w:ind w:firstLine="643"/>
        <w:rPr>
          <w:rFonts w:ascii="仿宋_GB2312" w:cs="宋体"/>
          <w:sz w:val="32"/>
          <w:szCs w:val="32"/>
        </w:rPr>
      </w:pPr>
      <w:bookmarkStart w:id="64" w:name="_Toc22608"/>
      <w:r>
        <w:rPr>
          <w:rFonts w:hint="eastAsia" w:ascii="仿宋_GB2312" w:cs="宋体"/>
          <w:b/>
          <w:bCs/>
          <w:sz w:val="32"/>
          <w:szCs w:val="32"/>
        </w:rPr>
        <w:t>1、经营收入</w:t>
      </w:r>
      <w:r>
        <w:rPr>
          <w:rFonts w:hint="eastAsia" w:ascii="仿宋_GB2312" w:cs="宋体"/>
          <w:sz w:val="32"/>
          <w:szCs w:val="32"/>
        </w:rPr>
        <w:t>：本项目达产后，将形成年产</w:t>
      </w:r>
      <w:r>
        <w:rPr>
          <w:rFonts w:ascii="仿宋_GB2312" w:cs="宋体"/>
          <w:sz w:val="32"/>
          <w:szCs w:val="32"/>
        </w:rPr>
        <w:t>150万</w:t>
      </w:r>
      <w:r>
        <w:rPr>
          <w:rFonts w:hint="eastAsia" w:ascii="仿宋_GB2312" w:cs="宋体"/>
          <w:sz w:val="32"/>
          <w:szCs w:val="32"/>
        </w:rPr>
        <w:t>斤蓝莓生产能力，参考市场同类产品销售单价，蓝莓市场</w:t>
      </w:r>
      <w:r>
        <w:rPr>
          <w:rFonts w:ascii="仿宋_GB2312" w:cs="宋体"/>
          <w:sz w:val="32"/>
          <w:szCs w:val="32"/>
        </w:rPr>
        <w:t>销售均价30元/</w:t>
      </w:r>
      <w:r>
        <w:rPr>
          <w:rFonts w:hint="eastAsia" w:ascii="仿宋_GB2312" w:cs="宋体"/>
          <w:sz w:val="32"/>
          <w:szCs w:val="32"/>
        </w:rPr>
        <w:t>斤。预计项目投产后第一年和第二年运营率分别为60%、80%，第三年开始达产，达产年项目年营业收入为</w:t>
      </w:r>
      <w:r>
        <w:rPr>
          <w:rFonts w:ascii="仿宋_GB2312" w:cs="宋体"/>
          <w:sz w:val="32"/>
          <w:szCs w:val="32"/>
        </w:rPr>
        <w:t>4500</w:t>
      </w:r>
      <w:r>
        <w:rPr>
          <w:rFonts w:hint="eastAsia" w:ascii="仿宋_GB2312" w:cs="宋体"/>
          <w:sz w:val="32"/>
          <w:szCs w:val="32"/>
        </w:rPr>
        <w:t>万元。</w:t>
      </w:r>
    </w:p>
    <w:p>
      <w:pPr>
        <w:spacing w:line="580" w:lineRule="exact"/>
        <w:ind w:firstLine="643"/>
        <w:rPr>
          <w:rFonts w:ascii="仿宋_GB2312" w:cs="宋体"/>
          <w:sz w:val="32"/>
          <w:szCs w:val="32"/>
        </w:rPr>
      </w:pPr>
      <w:r>
        <w:rPr>
          <w:rFonts w:hint="eastAsia" w:ascii="仿宋_GB2312" w:cs="宋体"/>
          <w:b/>
          <w:bCs/>
          <w:sz w:val="32"/>
          <w:szCs w:val="32"/>
        </w:rPr>
        <w:t>2、主营业务成本</w:t>
      </w:r>
      <w:r>
        <w:rPr>
          <w:rFonts w:hint="eastAsia" w:ascii="仿宋_GB2312" w:cs="宋体"/>
          <w:sz w:val="32"/>
          <w:szCs w:val="32"/>
        </w:rPr>
        <w:t>：主要包括肥料费、采摘费等，参考市场上同类产品的经营情况，综合按照营业收入的</w:t>
      </w:r>
      <w:r>
        <w:rPr>
          <w:rFonts w:ascii="仿宋_GB2312" w:cs="宋体"/>
          <w:sz w:val="32"/>
          <w:szCs w:val="32"/>
        </w:rPr>
        <w:t>73%计算。</w:t>
      </w:r>
    </w:p>
    <w:p>
      <w:pPr>
        <w:spacing w:line="580" w:lineRule="exact"/>
        <w:ind w:firstLine="643"/>
        <w:rPr>
          <w:rFonts w:ascii="仿宋_GB2312" w:cs="宋体"/>
          <w:sz w:val="32"/>
          <w:szCs w:val="32"/>
        </w:rPr>
      </w:pPr>
      <w:r>
        <w:rPr>
          <w:rFonts w:hint="eastAsia" w:ascii="仿宋_GB2312" w:cs="宋体"/>
          <w:b/>
          <w:bCs/>
          <w:sz w:val="32"/>
          <w:szCs w:val="32"/>
        </w:rPr>
        <w:t>3、期间费用</w:t>
      </w:r>
      <w:r>
        <w:rPr>
          <w:rFonts w:hint="eastAsia" w:ascii="仿宋_GB2312" w:cs="宋体"/>
          <w:sz w:val="32"/>
          <w:szCs w:val="32"/>
        </w:rPr>
        <w:t>：主要包括销售费用、管理费用。</w:t>
      </w:r>
    </w:p>
    <w:p>
      <w:pPr>
        <w:spacing w:line="580" w:lineRule="exact"/>
        <w:ind w:firstLine="640"/>
        <w:rPr>
          <w:rFonts w:ascii="仿宋_GB2312" w:cs="宋体"/>
          <w:sz w:val="32"/>
          <w:szCs w:val="32"/>
        </w:rPr>
      </w:pPr>
      <w:r>
        <w:rPr>
          <w:rFonts w:hint="eastAsia" w:ascii="仿宋_GB2312" w:cs="宋体"/>
          <w:sz w:val="32"/>
          <w:szCs w:val="32"/>
        </w:rPr>
        <w:t>销售费用主要包括职工薪酬、宣传推广费以及其他与销售活动相关的费用，结合行业基本情况，销售费用按照营业收入的</w:t>
      </w:r>
      <w:r>
        <w:rPr>
          <w:rFonts w:ascii="仿宋_GB2312" w:cs="宋体"/>
          <w:sz w:val="32"/>
          <w:szCs w:val="32"/>
        </w:rPr>
        <w:t>10</w:t>
      </w:r>
      <w:r>
        <w:rPr>
          <w:rFonts w:hint="eastAsia" w:ascii="仿宋_GB2312" w:cs="宋体"/>
          <w:sz w:val="32"/>
          <w:szCs w:val="32"/>
        </w:rPr>
        <w:t>%计提。</w:t>
      </w:r>
    </w:p>
    <w:p>
      <w:pPr>
        <w:spacing w:line="580" w:lineRule="exact"/>
        <w:ind w:firstLine="640"/>
        <w:rPr>
          <w:rFonts w:ascii="仿宋_GB2312" w:cs="宋体"/>
          <w:sz w:val="32"/>
          <w:szCs w:val="32"/>
        </w:rPr>
      </w:pPr>
      <w:r>
        <w:rPr>
          <w:rFonts w:hint="eastAsia" w:ascii="仿宋_GB2312" w:cs="宋体"/>
          <w:sz w:val="32"/>
          <w:szCs w:val="32"/>
        </w:rPr>
        <w:t>管理费用主要包括职工薪酬、办公费、差旅费以及其他管理费。结合行业基本情况，管理费用按照营业收入的</w:t>
      </w:r>
      <w:r>
        <w:rPr>
          <w:rFonts w:ascii="仿宋_GB2312" w:cs="宋体"/>
          <w:sz w:val="32"/>
          <w:szCs w:val="32"/>
        </w:rPr>
        <w:t>3</w:t>
      </w:r>
      <w:r>
        <w:rPr>
          <w:rFonts w:hint="eastAsia" w:ascii="仿宋_GB2312" w:cs="宋体"/>
          <w:sz w:val="32"/>
          <w:szCs w:val="32"/>
        </w:rPr>
        <w:t>%计提。</w:t>
      </w:r>
    </w:p>
    <w:p>
      <w:pPr>
        <w:spacing w:line="580" w:lineRule="exact"/>
        <w:jc w:val="center"/>
        <w:rPr>
          <w:rFonts w:ascii="仿宋_GB2312" w:cs="宋体"/>
          <w:b/>
          <w:szCs w:val="28"/>
        </w:rPr>
      </w:pPr>
      <w:r>
        <w:rPr>
          <w:rFonts w:hint="eastAsia" w:ascii="仿宋_GB2312" w:cs="宋体"/>
          <w:b/>
          <w:szCs w:val="28"/>
        </w:rPr>
        <w:t>图表 1</w:t>
      </w:r>
      <w:r>
        <w:rPr>
          <w:rFonts w:ascii="仿宋_GB2312" w:cs="宋体"/>
          <w:b/>
          <w:szCs w:val="28"/>
        </w:rPr>
        <w:t>5</w:t>
      </w:r>
      <w:r>
        <w:rPr>
          <w:rFonts w:hint="eastAsia" w:ascii="仿宋_GB2312" w:cs="宋体"/>
          <w:b/>
          <w:szCs w:val="28"/>
        </w:rPr>
        <w:t xml:space="preserve">  项目经营收入、成本、利润估算</w:t>
      </w:r>
    </w:p>
    <w:tbl>
      <w:tblPr>
        <w:tblStyle w:val="16"/>
        <w:tblW w:w="5000" w:type="pct"/>
        <w:jc w:val="center"/>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autofit"/>
        <w:tblCellMar>
          <w:top w:w="0" w:type="dxa"/>
          <w:left w:w="108" w:type="dxa"/>
          <w:bottom w:w="0" w:type="dxa"/>
          <w:right w:w="108" w:type="dxa"/>
        </w:tblCellMar>
      </w:tblPr>
      <w:tblGrid>
        <w:gridCol w:w="3020"/>
        <w:gridCol w:w="3021"/>
        <w:gridCol w:w="3019"/>
      </w:tblGrid>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shd w:val="clear" w:color="auto" w:fill="4472C4" w:themeFill="accent1"/>
          </w:tcPr>
          <w:p>
            <w:pPr>
              <w:spacing w:line="440" w:lineRule="exact"/>
              <w:jc w:val="center"/>
              <w:rPr>
                <w:rFonts w:ascii="黑体" w:hAnsi="黑体" w:eastAsia="黑体" w:cs="宋体"/>
                <w:bCs/>
                <w:color w:val="FFFFFF"/>
                <w:szCs w:val="28"/>
              </w:rPr>
            </w:pPr>
            <w:r>
              <w:rPr>
                <w:rFonts w:hint="eastAsia" w:ascii="黑体" w:hAnsi="黑体" w:eastAsia="黑体" w:cs="宋体"/>
                <w:bCs/>
                <w:color w:val="FFFFFF"/>
                <w:szCs w:val="28"/>
              </w:rPr>
              <w:t>序号</w:t>
            </w:r>
          </w:p>
        </w:tc>
        <w:tc>
          <w:tcPr>
            <w:tcW w:w="1667" w:type="pct"/>
            <w:shd w:val="clear" w:color="auto" w:fill="4472C4" w:themeFill="accent1"/>
            <w:vAlign w:val="center"/>
          </w:tcPr>
          <w:p>
            <w:pPr>
              <w:spacing w:line="440" w:lineRule="exact"/>
              <w:jc w:val="center"/>
              <w:rPr>
                <w:rFonts w:ascii="黑体" w:hAnsi="黑体" w:eastAsia="黑体" w:cs="宋体"/>
                <w:bCs/>
                <w:color w:val="FFFFFF"/>
                <w:szCs w:val="28"/>
              </w:rPr>
            </w:pPr>
            <w:r>
              <w:rPr>
                <w:rFonts w:hint="eastAsia" w:ascii="黑体" w:hAnsi="黑体" w:eastAsia="黑体" w:cs="宋体"/>
                <w:bCs/>
                <w:color w:val="FFFFFF"/>
                <w:szCs w:val="28"/>
              </w:rPr>
              <w:t>项目</w:t>
            </w:r>
          </w:p>
        </w:tc>
        <w:tc>
          <w:tcPr>
            <w:tcW w:w="1666" w:type="pct"/>
            <w:shd w:val="clear" w:color="auto" w:fill="4472C4" w:themeFill="accent1"/>
            <w:vAlign w:val="center"/>
          </w:tcPr>
          <w:p>
            <w:pPr>
              <w:spacing w:line="440" w:lineRule="exact"/>
              <w:jc w:val="center"/>
              <w:rPr>
                <w:rFonts w:ascii="黑体" w:hAnsi="黑体" w:eastAsia="黑体" w:cs="宋体"/>
                <w:bCs/>
                <w:color w:val="FFFFFF"/>
                <w:szCs w:val="28"/>
              </w:rPr>
            </w:pPr>
            <w:r>
              <w:rPr>
                <w:rFonts w:hint="eastAsia" w:ascii="黑体" w:hAnsi="黑体" w:eastAsia="黑体" w:cs="宋体"/>
                <w:bCs/>
                <w:color w:val="FFFFFF"/>
                <w:szCs w:val="28"/>
              </w:rPr>
              <w:t>金额（万元）</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b/>
                <w:bCs/>
                <w:szCs w:val="28"/>
              </w:rPr>
            </w:pPr>
            <w:r>
              <w:rPr>
                <w:rFonts w:hint="eastAsia" w:ascii="仿宋_GB2312" w:cs="宋体"/>
                <w:b/>
                <w:bCs/>
                <w:szCs w:val="28"/>
              </w:rPr>
              <w:t>1</w:t>
            </w:r>
          </w:p>
        </w:tc>
        <w:tc>
          <w:tcPr>
            <w:tcW w:w="1667" w:type="pct"/>
            <w:vAlign w:val="center"/>
          </w:tcPr>
          <w:p>
            <w:pPr>
              <w:spacing w:line="440" w:lineRule="exact"/>
              <w:jc w:val="center"/>
              <w:rPr>
                <w:rFonts w:ascii="仿宋_GB2312" w:cs="宋体"/>
                <w:b/>
                <w:bCs/>
                <w:szCs w:val="28"/>
              </w:rPr>
            </w:pPr>
            <w:r>
              <w:rPr>
                <w:rFonts w:hint="eastAsia" w:ascii="仿宋_GB2312" w:cs="宋体"/>
                <w:b/>
                <w:bCs/>
                <w:szCs w:val="28"/>
              </w:rPr>
              <w:t>经营收入</w:t>
            </w:r>
          </w:p>
        </w:tc>
        <w:tc>
          <w:tcPr>
            <w:tcW w:w="1666" w:type="pct"/>
            <w:vAlign w:val="center"/>
          </w:tcPr>
          <w:p>
            <w:pPr>
              <w:spacing w:line="440" w:lineRule="exact"/>
              <w:jc w:val="center"/>
              <w:rPr>
                <w:rFonts w:ascii="仿宋_GB2312" w:cs="宋体"/>
                <w:b/>
                <w:bCs/>
                <w:szCs w:val="28"/>
              </w:rPr>
            </w:pPr>
            <w:r>
              <w:rPr>
                <w:rFonts w:hint="eastAsia" w:ascii="仿宋_GB2312" w:cs="宋体"/>
                <w:b/>
                <w:bCs/>
                <w:szCs w:val="28"/>
              </w:rPr>
              <w:t>4</w:t>
            </w:r>
            <w:r>
              <w:rPr>
                <w:rFonts w:ascii="仿宋_GB2312" w:cs="宋体"/>
                <w:b/>
                <w:bCs/>
                <w:szCs w:val="28"/>
              </w:rPr>
              <w:t>500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szCs w:val="28"/>
              </w:rPr>
            </w:pPr>
            <w:r>
              <w:rPr>
                <w:rFonts w:hint="eastAsia" w:ascii="仿宋_GB2312" w:cs="宋体"/>
                <w:szCs w:val="28"/>
              </w:rPr>
              <w:t>1</w:t>
            </w:r>
            <w:r>
              <w:rPr>
                <w:rFonts w:ascii="仿宋_GB2312" w:cs="宋体"/>
                <w:szCs w:val="28"/>
              </w:rPr>
              <w:t>.1</w:t>
            </w:r>
          </w:p>
        </w:tc>
        <w:tc>
          <w:tcPr>
            <w:tcW w:w="1667" w:type="pct"/>
            <w:vAlign w:val="center"/>
          </w:tcPr>
          <w:p>
            <w:pPr>
              <w:spacing w:line="440" w:lineRule="exact"/>
              <w:jc w:val="center"/>
              <w:rPr>
                <w:rFonts w:ascii="仿宋_GB2312" w:cs="宋体"/>
                <w:szCs w:val="28"/>
              </w:rPr>
            </w:pPr>
            <w:r>
              <w:rPr>
                <w:rFonts w:hint="eastAsia" w:ascii="仿宋_GB2312" w:cs="宋体"/>
                <w:szCs w:val="28"/>
              </w:rPr>
              <w:t>蓝莓鲜果</w:t>
            </w:r>
          </w:p>
        </w:tc>
        <w:tc>
          <w:tcPr>
            <w:tcW w:w="1666" w:type="pct"/>
            <w:vAlign w:val="center"/>
          </w:tcPr>
          <w:p>
            <w:pPr>
              <w:spacing w:line="440" w:lineRule="exact"/>
              <w:jc w:val="center"/>
              <w:rPr>
                <w:rFonts w:ascii="仿宋_GB2312" w:cs="宋体"/>
                <w:szCs w:val="28"/>
              </w:rPr>
            </w:pPr>
            <w:r>
              <w:rPr>
                <w:rFonts w:ascii="仿宋_GB2312" w:cs="宋体"/>
                <w:szCs w:val="28"/>
              </w:rPr>
              <w:t>4500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shd w:val="clear" w:color="auto" w:fill="auto"/>
          </w:tcPr>
          <w:p>
            <w:pPr>
              <w:spacing w:line="440" w:lineRule="exact"/>
              <w:jc w:val="center"/>
              <w:rPr>
                <w:rFonts w:ascii="仿宋_GB2312" w:hAnsi="黑体" w:cs="宋体"/>
                <w:b/>
                <w:szCs w:val="28"/>
              </w:rPr>
            </w:pPr>
            <w:r>
              <w:rPr>
                <w:rFonts w:hint="eastAsia" w:ascii="仿宋_GB2312" w:hAnsi="黑体" w:cs="宋体"/>
                <w:b/>
                <w:szCs w:val="28"/>
              </w:rPr>
              <w:t>2</w:t>
            </w:r>
          </w:p>
        </w:tc>
        <w:tc>
          <w:tcPr>
            <w:tcW w:w="1667" w:type="pct"/>
            <w:shd w:val="clear" w:color="auto" w:fill="auto"/>
            <w:vAlign w:val="center"/>
          </w:tcPr>
          <w:p>
            <w:pPr>
              <w:spacing w:line="440" w:lineRule="exact"/>
              <w:jc w:val="center"/>
              <w:rPr>
                <w:rFonts w:ascii="仿宋_GB2312" w:hAnsi="黑体" w:cs="宋体"/>
                <w:b/>
                <w:szCs w:val="28"/>
              </w:rPr>
            </w:pPr>
            <w:r>
              <w:rPr>
                <w:rFonts w:hint="eastAsia" w:ascii="仿宋_GB2312" w:hAnsi="黑体" w:cs="宋体"/>
                <w:b/>
                <w:szCs w:val="28"/>
              </w:rPr>
              <w:t>经营成本</w:t>
            </w:r>
          </w:p>
        </w:tc>
        <w:tc>
          <w:tcPr>
            <w:tcW w:w="1666" w:type="pct"/>
            <w:shd w:val="clear" w:color="auto" w:fill="auto"/>
            <w:vAlign w:val="center"/>
          </w:tcPr>
          <w:p>
            <w:pPr>
              <w:spacing w:line="440" w:lineRule="exact"/>
              <w:jc w:val="center"/>
              <w:rPr>
                <w:rFonts w:ascii="仿宋_GB2312" w:hAnsi="黑体" w:cs="宋体"/>
                <w:b/>
                <w:szCs w:val="28"/>
              </w:rPr>
            </w:pPr>
            <w:r>
              <w:rPr>
                <w:rFonts w:hint="eastAsia" w:ascii="仿宋_GB2312" w:hAnsi="黑体" w:cs="宋体"/>
                <w:b/>
                <w:szCs w:val="28"/>
              </w:rPr>
              <w:t>3</w:t>
            </w:r>
            <w:r>
              <w:rPr>
                <w:rFonts w:ascii="仿宋_GB2312" w:hAnsi="黑体" w:cs="宋体"/>
                <w:b/>
                <w:szCs w:val="28"/>
              </w:rPr>
              <w:t>870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szCs w:val="28"/>
              </w:rPr>
            </w:pPr>
            <w:r>
              <w:rPr>
                <w:rFonts w:hint="eastAsia" w:ascii="仿宋_GB2312" w:cs="宋体"/>
                <w:szCs w:val="28"/>
              </w:rPr>
              <w:t>2</w:t>
            </w:r>
            <w:r>
              <w:rPr>
                <w:rFonts w:ascii="仿宋_GB2312" w:cs="宋体"/>
                <w:szCs w:val="28"/>
              </w:rPr>
              <w:t>.1</w:t>
            </w:r>
          </w:p>
        </w:tc>
        <w:tc>
          <w:tcPr>
            <w:tcW w:w="1667" w:type="pct"/>
            <w:vAlign w:val="center"/>
          </w:tcPr>
          <w:p>
            <w:pPr>
              <w:spacing w:line="440" w:lineRule="exact"/>
              <w:jc w:val="center"/>
              <w:rPr>
                <w:rFonts w:ascii="仿宋_GB2312" w:cs="宋体"/>
                <w:szCs w:val="28"/>
              </w:rPr>
            </w:pPr>
            <w:r>
              <w:rPr>
                <w:rFonts w:hint="eastAsia" w:ascii="仿宋_GB2312" w:cs="宋体"/>
                <w:szCs w:val="28"/>
              </w:rPr>
              <w:t>主营业务成本</w:t>
            </w:r>
          </w:p>
        </w:tc>
        <w:tc>
          <w:tcPr>
            <w:tcW w:w="1666" w:type="pct"/>
            <w:vAlign w:val="center"/>
          </w:tcPr>
          <w:p>
            <w:pPr>
              <w:spacing w:line="440" w:lineRule="exact"/>
              <w:jc w:val="center"/>
              <w:rPr>
                <w:rFonts w:ascii="仿宋_GB2312" w:cs="宋体"/>
                <w:szCs w:val="28"/>
              </w:rPr>
            </w:pPr>
            <w:r>
              <w:rPr>
                <w:rFonts w:ascii="仿宋_GB2312" w:cs="宋体"/>
                <w:szCs w:val="28"/>
              </w:rPr>
              <w:t>3285</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szCs w:val="28"/>
              </w:rPr>
            </w:pPr>
            <w:r>
              <w:rPr>
                <w:rFonts w:hint="eastAsia" w:ascii="仿宋_GB2312" w:cs="宋体"/>
                <w:szCs w:val="28"/>
              </w:rPr>
              <w:t>2</w:t>
            </w:r>
            <w:r>
              <w:rPr>
                <w:rFonts w:ascii="仿宋_GB2312" w:cs="宋体"/>
                <w:szCs w:val="28"/>
              </w:rPr>
              <w:t>.2</w:t>
            </w:r>
          </w:p>
        </w:tc>
        <w:tc>
          <w:tcPr>
            <w:tcW w:w="1667" w:type="pct"/>
            <w:vAlign w:val="center"/>
          </w:tcPr>
          <w:p>
            <w:pPr>
              <w:spacing w:line="440" w:lineRule="exact"/>
              <w:jc w:val="center"/>
              <w:rPr>
                <w:rFonts w:ascii="仿宋_GB2312" w:cs="宋体"/>
                <w:szCs w:val="28"/>
              </w:rPr>
            </w:pPr>
            <w:r>
              <w:rPr>
                <w:rFonts w:hint="eastAsia" w:ascii="仿宋_GB2312" w:cs="宋体"/>
                <w:szCs w:val="28"/>
              </w:rPr>
              <w:t>销售费用</w:t>
            </w:r>
          </w:p>
        </w:tc>
        <w:tc>
          <w:tcPr>
            <w:tcW w:w="1666" w:type="pct"/>
            <w:vAlign w:val="center"/>
          </w:tcPr>
          <w:p>
            <w:pPr>
              <w:spacing w:line="440" w:lineRule="exact"/>
              <w:jc w:val="center"/>
              <w:rPr>
                <w:rFonts w:ascii="仿宋_GB2312" w:cs="宋体"/>
                <w:szCs w:val="28"/>
              </w:rPr>
            </w:pPr>
            <w:r>
              <w:rPr>
                <w:rFonts w:ascii="仿宋_GB2312" w:cs="宋体"/>
                <w:szCs w:val="28"/>
              </w:rPr>
              <w:t>450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szCs w:val="28"/>
              </w:rPr>
            </w:pPr>
            <w:r>
              <w:rPr>
                <w:rFonts w:hint="eastAsia" w:ascii="仿宋_GB2312" w:cs="宋体"/>
                <w:szCs w:val="28"/>
              </w:rPr>
              <w:t>2</w:t>
            </w:r>
            <w:r>
              <w:rPr>
                <w:rFonts w:ascii="仿宋_GB2312" w:cs="宋体"/>
                <w:szCs w:val="28"/>
              </w:rPr>
              <w:t>.3</w:t>
            </w:r>
          </w:p>
        </w:tc>
        <w:tc>
          <w:tcPr>
            <w:tcW w:w="1667" w:type="pct"/>
            <w:vAlign w:val="center"/>
          </w:tcPr>
          <w:p>
            <w:pPr>
              <w:spacing w:line="440" w:lineRule="exact"/>
              <w:jc w:val="center"/>
              <w:rPr>
                <w:rFonts w:ascii="仿宋_GB2312" w:cs="宋体"/>
                <w:szCs w:val="28"/>
              </w:rPr>
            </w:pPr>
            <w:r>
              <w:rPr>
                <w:rFonts w:hint="eastAsia" w:ascii="仿宋_GB2312" w:cs="宋体"/>
                <w:szCs w:val="28"/>
              </w:rPr>
              <w:t>管理费用</w:t>
            </w:r>
          </w:p>
        </w:tc>
        <w:tc>
          <w:tcPr>
            <w:tcW w:w="1666" w:type="pct"/>
            <w:vAlign w:val="center"/>
          </w:tcPr>
          <w:p>
            <w:pPr>
              <w:spacing w:line="440" w:lineRule="exact"/>
              <w:jc w:val="center"/>
              <w:rPr>
                <w:rFonts w:ascii="仿宋_GB2312" w:cs="宋体"/>
                <w:szCs w:val="28"/>
              </w:rPr>
            </w:pPr>
            <w:r>
              <w:rPr>
                <w:rFonts w:ascii="仿宋_GB2312" w:cs="宋体"/>
                <w:szCs w:val="28"/>
              </w:rPr>
              <w:t>135</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b/>
                <w:bCs/>
                <w:szCs w:val="28"/>
              </w:rPr>
            </w:pPr>
            <w:r>
              <w:rPr>
                <w:rFonts w:hint="eastAsia" w:ascii="仿宋_GB2312" w:cs="宋体"/>
                <w:b/>
                <w:bCs/>
                <w:szCs w:val="28"/>
              </w:rPr>
              <w:t>3</w:t>
            </w:r>
          </w:p>
        </w:tc>
        <w:tc>
          <w:tcPr>
            <w:tcW w:w="1667" w:type="pct"/>
            <w:vAlign w:val="center"/>
          </w:tcPr>
          <w:p>
            <w:pPr>
              <w:spacing w:line="440" w:lineRule="exact"/>
              <w:jc w:val="center"/>
              <w:rPr>
                <w:rFonts w:ascii="仿宋_GB2312" w:cs="宋体"/>
                <w:b/>
                <w:bCs/>
                <w:szCs w:val="28"/>
              </w:rPr>
            </w:pPr>
            <w:r>
              <w:rPr>
                <w:rFonts w:hint="eastAsia" w:ascii="仿宋_GB2312" w:cs="宋体"/>
                <w:b/>
                <w:bCs/>
                <w:szCs w:val="28"/>
              </w:rPr>
              <w:t>营业利润</w:t>
            </w:r>
          </w:p>
        </w:tc>
        <w:tc>
          <w:tcPr>
            <w:tcW w:w="1666" w:type="pct"/>
            <w:vAlign w:val="center"/>
          </w:tcPr>
          <w:p>
            <w:pPr>
              <w:spacing w:line="440" w:lineRule="exact"/>
              <w:jc w:val="center"/>
              <w:rPr>
                <w:rFonts w:ascii="仿宋_GB2312" w:cs="宋体"/>
                <w:b/>
                <w:bCs/>
                <w:szCs w:val="28"/>
              </w:rPr>
            </w:pPr>
            <w:r>
              <w:rPr>
                <w:rFonts w:ascii="仿宋_GB2312" w:cs="宋体"/>
                <w:b/>
                <w:bCs/>
                <w:szCs w:val="28"/>
              </w:rPr>
              <w:t>630</w:t>
            </w:r>
          </w:p>
        </w:tc>
      </w:tr>
      <w:tr>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trHeight w:val="454" w:hRule="atLeast"/>
          <w:jc w:val="center"/>
        </w:trPr>
        <w:tc>
          <w:tcPr>
            <w:tcW w:w="1667" w:type="pct"/>
          </w:tcPr>
          <w:p>
            <w:pPr>
              <w:spacing w:line="440" w:lineRule="exact"/>
              <w:jc w:val="center"/>
              <w:rPr>
                <w:rFonts w:ascii="仿宋_GB2312" w:cs="宋体"/>
                <w:b/>
                <w:bCs/>
                <w:szCs w:val="28"/>
              </w:rPr>
            </w:pPr>
            <w:r>
              <w:rPr>
                <w:rFonts w:hint="eastAsia" w:ascii="仿宋_GB2312" w:cs="宋体"/>
                <w:b/>
                <w:bCs/>
                <w:szCs w:val="28"/>
              </w:rPr>
              <w:t>4</w:t>
            </w:r>
          </w:p>
        </w:tc>
        <w:tc>
          <w:tcPr>
            <w:tcW w:w="1667" w:type="pct"/>
            <w:vAlign w:val="center"/>
          </w:tcPr>
          <w:p>
            <w:pPr>
              <w:spacing w:line="440" w:lineRule="exact"/>
              <w:jc w:val="center"/>
              <w:rPr>
                <w:rFonts w:ascii="仿宋_GB2312" w:cs="宋体"/>
                <w:b/>
                <w:bCs/>
                <w:szCs w:val="28"/>
              </w:rPr>
            </w:pPr>
            <w:r>
              <w:rPr>
                <w:rFonts w:hint="eastAsia" w:ascii="仿宋_GB2312" w:cs="宋体"/>
                <w:b/>
                <w:bCs/>
                <w:szCs w:val="28"/>
              </w:rPr>
              <w:t>净利润</w:t>
            </w:r>
          </w:p>
        </w:tc>
        <w:tc>
          <w:tcPr>
            <w:tcW w:w="1666" w:type="pct"/>
            <w:vAlign w:val="center"/>
          </w:tcPr>
          <w:p>
            <w:pPr>
              <w:spacing w:line="440" w:lineRule="exact"/>
              <w:jc w:val="center"/>
              <w:rPr>
                <w:rFonts w:ascii="仿宋_GB2312" w:cs="宋体"/>
                <w:b/>
                <w:bCs/>
                <w:szCs w:val="28"/>
              </w:rPr>
            </w:pPr>
            <w:r>
              <w:rPr>
                <w:rFonts w:ascii="仿宋_GB2312" w:cs="宋体"/>
                <w:b/>
                <w:bCs/>
                <w:szCs w:val="28"/>
              </w:rPr>
              <w:t>536</w:t>
            </w:r>
          </w:p>
        </w:tc>
      </w:tr>
    </w:tbl>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65" w:name="_Toc76733619"/>
      <w:bookmarkStart w:id="66" w:name="_Toc78441347"/>
      <w:r>
        <w:rPr>
          <w:rFonts w:hint="eastAsia" w:ascii="黑体" w:hAnsi="黑体" w:eastAsia="黑体" w:cs="宋体"/>
          <w:color w:val="000000" w:themeColor="text1"/>
          <w:sz w:val="32"/>
          <w14:textFill>
            <w14:solidFill>
              <w14:schemeClr w14:val="tx1"/>
            </w14:solidFill>
          </w14:textFill>
        </w:rPr>
        <w:t>三、项目投资回收期</w:t>
      </w:r>
      <w:bookmarkEnd w:id="64"/>
      <w:bookmarkEnd w:id="65"/>
      <w:bookmarkEnd w:id="66"/>
    </w:p>
    <w:p>
      <w:pPr>
        <w:spacing w:line="580" w:lineRule="exact"/>
        <w:ind w:firstLine="640" w:firstLineChars="200"/>
        <w:rPr>
          <w:rFonts w:ascii="仿宋_GB2312" w:hAnsi="宋体" w:cs="宋体"/>
          <w:sz w:val="32"/>
          <w:szCs w:val="32"/>
        </w:rPr>
      </w:pPr>
      <w:r>
        <w:rPr>
          <w:rFonts w:hint="eastAsia" w:ascii="仿宋_GB2312" w:cs="宋体"/>
          <w:sz w:val="32"/>
          <w:szCs w:val="32"/>
        </w:rPr>
        <w:t>项目总规划用地</w:t>
      </w:r>
      <w:r>
        <w:rPr>
          <w:rFonts w:ascii="仿宋_GB2312" w:cs="宋体"/>
          <w:sz w:val="32"/>
          <w:szCs w:val="32"/>
        </w:rPr>
        <w:t>1000亩，拟投资3000万元，达产年预计年</w:t>
      </w:r>
      <w:r>
        <w:rPr>
          <w:rFonts w:hint="eastAsia" w:ascii="仿宋_GB2312" w:cs="宋体"/>
          <w:sz w:val="32"/>
          <w:szCs w:val="32"/>
        </w:rPr>
        <w:t>产值</w:t>
      </w:r>
      <w:r>
        <w:rPr>
          <w:rFonts w:ascii="仿宋_GB2312" w:cs="宋体"/>
          <w:sz w:val="32"/>
          <w:szCs w:val="32"/>
        </w:rPr>
        <w:t>为4500万元，年利税额为630万元。项目投资回报率为21%，税后投资回收期约为5.4年（不含建设期），具备较好的经济效益。</w:t>
      </w:r>
    </w:p>
    <w:p>
      <w:pPr>
        <w:widowControl/>
        <w:jc w:val="left"/>
        <w:rPr>
          <w:rFonts w:ascii="方正小标宋简体" w:hAnsi="宋体" w:eastAsia="方正小标宋简体" w:cs="宋体"/>
          <w:b/>
          <w:bCs/>
          <w:color w:val="000000" w:themeColor="text1"/>
          <w:kern w:val="44"/>
          <w:sz w:val="44"/>
          <w:szCs w:val="44"/>
          <w14:textFill>
            <w14:solidFill>
              <w14:schemeClr w14:val="tx1"/>
            </w14:solidFill>
          </w14:textFill>
        </w:rPr>
      </w:pPr>
      <w:r>
        <w:rPr>
          <w:rFonts w:ascii="方正小标宋简体" w:hAnsi="宋体" w:eastAsia="方正小标宋简体" w:cs="宋体"/>
          <w:color w:val="000000" w:themeColor="text1"/>
          <w:sz w:val="44"/>
          <w14:textFill>
            <w14:solidFill>
              <w14:schemeClr w14:val="tx1"/>
            </w14:solidFill>
          </w14:textFill>
        </w:rPr>
        <w:br w:type="page"/>
      </w:r>
    </w:p>
    <w:p>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67" w:name="_Toc76569953"/>
      <w:bookmarkStart w:id="68" w:name="_Toc76570174"/>
      <w:bookmarkStart w:id="69" w:name="_Toc78441348"/>
      <w:r>
        <w:rPr>
          <w:rFonts w:hint="eastAsia" w:ascii="方正小标宋简体" w:hAnsi="宋体" w:eastAsia="方正小标宋简体" w:cs="宋体"/>
          <w:color w:val="000000" w:themeColor="text1"/>
          <w:sz w:val="44"/>
          <w14:textFill>
            <w14:solidFill>
              <w14:schemeClr w14:val="tx1"/>
            </w14:solidFill>
          </w14:textFill>
        </w:rPr>
        <w:t>第六章 投资服务保障</w:t>
      </w:r>
      <w:bookmarkEnd w:id="67"/>
      <w:bookmarkEnd w:id="68"/>
      <w:bookmarkEnd w:id="69"/>
    </w:p>
    <w:p>
      <w:pPr>
        <w:spacing w:line="580" w:lineRule="exact"/>
        <w:rPr>
          <w:rFonts w:ascii="方正小标宋简体" w:eastAsia="方正小标宋简体"/>
          <w:sz w:val="44"/>
          <w:szCs w:val="44"/>
        </w:rPr>
      </w:pP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70" w:name="_Toc76569954"/>
      <w:bookmarkStart w:id="71" w:name="_Toc76570175"/>
      <w:bookmarkStart w:id="72" w:name="_Toc78441349"/>
      <w:r>
        <w:rPr>
          <w:rFonts w:hint="eastAsia" w:ascii="黑体" w:hAnsi="黑体" w:eastAsia="黑体" w:cs="宋体"/>
          <w:color w:val="000000" w:themeColor="text1"/>
          <w:sz w:val="32"/>
          <w14:textFill>
            <w14:solidFill>
              <w14:schemeClr w14:val="tx1"/>
            </w14:solidFill>
          </w14:textFill>
        </w:rPr>
        <w:t>一、招商合作模式</w:t>
      </w:r>
      <w:bookmarkEnd w:id="70"/>
      <w:bookmarkEnd w:id="71"/>
      <w:bookmarkEnd w:id="72"/>
    </w:p>
    <w:p>
      <w:pPr>
        <w:spacing w:line="580" w:lineRule="exact"/>
        <w:ind w:firstLine="640" w:firstLineChars="200"/>
        <w:rPr>
          <w:rFonts w:ascii="仿宋_GB2312" w:hAnsi="宋体" w:cs="宋体"/>
          <w:sz w:val="32"/>
          <w:szCs w:val="32"/>
        </w:rPr>
      </w:pPr>
      <w:r>
        <w:rPr>
          <w:rFonts w:hint="eastAsia" w:ascii="仿宋_GB2312" w:hAnsi="宋体" w:cs="宋体"/>
          <w:sz w:val="32"/>
          <w:szCs w:val="32"/>
        </w:rPr>
        <w:t>本项目拟采取独资、合资、合作等招商合作模式。</w:t>
      </w:r>
    </w:p>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73" w:name="_Toc76569955"/>
      <w:bookmarkStart w:id="74" w:name="_Toc76570176"/>
      <w:bookmarkStart w:id="75" w:name="_Toc78441350"/>
      <w:r>
        <w:rPr>
          <w:rFonts w:hint="eastAsia" w:ascii="黑体" w:hAnsi="黑体" w:eastAsia="黑体" w:cs="宋体"/>
          <w:color w:val="000000" w:themeColor="text1"/>
          <w:sz w:val="32"/>
          <w14:textFill>
            <w14:solidFill>
              <w14:schemeClr w14:val="tx1"/>
            </w14:solidFill>
          </w14:textFill>
        </w:rPr>
        <w:t>二、招商优惠政策</w:t>
      </w:r>
      <w:bookmarkEnd w:id="73"/>
      <w:bookmarkEnd w:id="74"/>
      <w:bookmarkEnd w:id="75"/>
    </w:p>
    <w:p>
      <w:pPr>
        <w:snapToGrid w:val="0"/>
        <w:spacing w:line="580" w:lineRule="exact"/>
        <w:ind w:firstLine="640" w:firstLineChars="200"/>
        <w:rPr>
          <w:rFonts w:ascii="仿宋_GB2312" w:hAnsi="Times New Roman" w:cs="Times New Roman"/>
          <w:bCs/>
          <w:sz w:val="32"/>
          <w:szCs w:val="32"/>
        </w:rPr>
      </w:pPr>
      <w:bookmarkStart w:id="76" w:name="_Hlk57387946"/>
      <w:r>
        <w:rPr>
          <w:rFonts w:hint="eastAsia" w:ascii="仿宋_GB2312" w:hAnsi="Times New Roman" w:cs="Times New Roman"/>
          <w:bCs/>
          <w:sz w:val="32"/>
          <w:szCs w:val="32"/>
        </w:rPr>
        <w:t>本项目除享受国家及贵州省出台的相关招商引资优惠政策外，还享受贵阳市、息烽县招商引资相关优惠政策，政策包含但不限于《贵阳市产业大招商政策措施》《息烽县招商引资奖励办法》《息烽县招商引资政策》《息烽县关于鼓励发展总部经济的措施》等。</w:t>
      </w:r>
    </w:p>
    <w:p>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用地优惠</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对集中连片流转土地在</w:t>
      </w:r>
      <w:r>
        <w:rPr>
          <w:rFonts w:ascii="仿宋_GB2312" w:hAnsi="Times New Roman" w:cs="Times New Roman"/>
          <w:bCs/>
          <w:sz w:val="32"/>
          <w:szCs w:val="32"/>
        </w:rPr>
        <w:t>100－200亩（含200亩）、200－500亩（含500亩）和500亩以上，按照标准化生产，流转土地利用良好，无撂荒现象，农产品检测合格率达100%，示范带动作用强的生态高效农业企业，每年分别按照100元人民币/亩、150元人民币/亩和200元人民币/亩的标准给予奖励，奖励期为三年。</w:t>
      </w:r>
    </w:p>
    <w:p>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财政扶持</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对如约完成投资协议约定事项的企业，自建成运营之日起，第一年至第三年企业对地方财政实际贡献部分由县政府安排通过财政支付方式全额用于扶持企业发展；第四年至第五年企业对地方财政实际贡献部分的</w:t>
      </w:r>
      <w:r>
        <w:rPr>
          <w:rFonts w:ascii="仿宋_GB2312" w:hAnsi="Times New Roman" w:cs="Times New Roman"/>
          <w:bCs/>
          <w:sz w:val="32"/>
          <w:szCs w:val="32"/>
        </w:rPr>
        <w:t>50%由县政府安排通过财政支付方式用于扶持企业发展。</w:t>
      </w:r>
    </w:p>
    <w:p>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投资奖励</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项目引进资金系县外资金，按项目实际完成投资额的</w:t>
      </w:r>
      <w:r>
        <w:rPr>
          <w:rFonts w:ascii="仿宋_GB2312" w:hAnsi="Times New Roman" w:cs="Times New Roman"/>
          <w:bCs/>
          <w:sz w:val="32"/>
          <w:szCs w:val="32"/>
        </w:rPr>
        <w:t>3‰给予奖励（项目运营所需流动资金投入不计入项目实际完成投资额内）。如项目属于我县投资促进部门主动宣传推介的重点招商引资项目，则上浮奖励标准20%，按项目实际完成投资额的3.6‰给予奖励。单个项目最高奖励金额不超过500万元人民币。</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如引进项目的投资人或控股投资人（多方合作投资的情况下）为世界</w:t>
      </w:r>
      <w:r>
        <w:rPr>
          <w:rFonts w:ascii="仿宋_GB2312" w:hAnsi="Times New Roman" w:cs="Times New Roman"/>
          <w:bCs/>
          <w:sz w:val="32"/>
          <w:szCs w:val="32"/>
        </w:rPr>
        <w:t>500强、国内500强、国内民企500强企业，对引资人除给予上述奖励外，再分别一次性给予30万元人民币、15万元人民币、5万元人民币的奖励（如投资人同时符合以上两项或三项条件的，以高限进行奖励）。如项目同时符合申请省级奖励办法第四条第三款规定的奖励的条件要求，省级奖励办法确定的奖励金额中由县级财政承担的部分不再重复进行奖励。</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新投资项目在投资协议约定期限内建成运营后，第一个完整纳税年度内营业收入达到</w:t>
      </w:r>
      <w:r>
        <w:rPr>
          <w:rFonts w:ascii="仿宋_GB2312" w:hAnsi="Times New Roman" w:cs="Times New Roman"/>
          <w:bCs/>
          <w:sz w:val="32"/>
          <w:szCs w:val="32"/>
        </w:rPr>
        <w:t>5000万元人民币或成为对我县地方财政实际贡献前10强的企业，给予其当年对地方财政实际贡献15%额度的奖励，最高不超过100万元人民币。</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对世界</w:t>
      </w:r>
      <w:r>
        <w:rPr>
          <w:rFonts w:ascii="仿宋_GB2312" w:hAnsi="Times New Roman" w:cs="Times New Roman"/>
          <w:bCs/>
          <w:sz w:val="32"/>
          <w:szCs w:val="32"/>
        </w:rPr>
        <w:t>500强企业在我县新设立的外资企业，实缴投资达到1000万美元、2000万美元、5000万美元的，经认定后分别给予200万元人民币、300万元人民币、500万元人民币的奖励；非世界500强企业新设立的外资企业实缴投资达到本条上述有关规定的，按本条上述奖励标准减半给予相应奖励。</w:t>
      </w:r>
    </w:p>
    <w:p>
      <w:pPr>
        <w:snapToGrid w:val="0"/>
        <w:spacing w:line="580" w:lineRule="exact"/>
        <w:ind w:firstLine="643" w:firstLineChars="200"/>
        <w:rPr>
          <w:rFonts w:ascii="仿宋_GB2312" w:hAnsi="Times New Roman" w:cs="Times New Roman"/>
          <w:b/>
          <w:bCs/>
          <w:sz w:val="32"/>
          <w:szCs w:val="32"/>
        </w:rPr>
      </w:pPr>
      <w:r>
        <w:rPr>
          <w:rFonts w:ascii="仿宋_GB2312" w:hAnsi="Times New Roman" w:cs="Times New Roman"/>
          <w:b/>
          <w:bCs/>
          <w:sz w:val="32"/>
          <w:szCs w:val="32"/>
        </w:rPr>
        <w:t>总部经济</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对新设立的总部企业给予重点扶持。年纳税县级分成在</w:t>
      </w:r>
      <w:r>
        <w:rPr>
          <w:rFonts w:ascii="仿宋_GB2312" w:hAnsi="Times New Roman" w:cs="Times New Roman"/>
          <w:bCs/>
          <w:sz w:val="32"/>
          <w:szCs w:val="32"/>
        </w:rPr>
        <w:t>500万元（含500万）以上的，第一年按当年缴纳税收县级分成部分的50%给予奖励，第二年、第三年分别按40%、30%奖励，以后均按25%给予奖励。年纳税县级分成在500万元（不含500万）以下的，从第一年起按年纳税额中县级分成部分的25%给予奖励。</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对总部企业高层管理人员给予奖励。总部企业高层管理人员（公司副总以上人员）在县内缴纳个人所得税中县级所得的</w:t>
      </w:r>
      <w:r>
        <w:rPr>
          <w:rFonts w:ascii="仿宋_GB2312" w:hAnsi="Times New Roman" w:cs="Times New Roman"/>
          <w:bCs/>
          <w:sz w:val="32"/>
          <w:szCs w:val="32"/>
        </w:rPr>
        <w:t>80%用于奖励高层管理人员。</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对重点总部企业的优惠政策“一事一议”。对世界</w:t>
      </w:r>
      <w:r>
        <w:rPr>
          <w:rFonts w:ascii="仿宋_GB2312" w:hAnsi="Times New Roman" w:cs="Times New Roman"/>
          <w:bCs/>
          <w:sz w:val="32"/>
          <w:szCs w:val="32"/>
        </w:rPr>
        <w:t>500强企业、上市公司、国家级高新技术企业在县内设立的具有独立法人及核算资格的区域性总部或研发中心、营销中心等分支机构，年纳税县级分成超5000万元的，可在上述优惠措施的基础上采取“一事一议”的办法研究更加优惠的扶持政策。</w:t>
      </w:r>
    </w:p>
    <w:p>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重大项目“一事一议”</w:t>
      </w:r>
    </w:p>
    <w:p>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对投资规模大、发展潜力大、带动能力强、科技含量高未列入本政策措施范围的重大项目，按照“市统筹、区为主、集中支持”的原则，实行“一事一议”。</w:t>
      </w:r>
    </w:p>
    <w:bookmarkEnd w:id="76"/>
    <w:p>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77" w:name="_Toc76569956"/>
      <w:bookmarkStart w:id="78" w:name="_Toc76570177"/>
      <w:bookmarkStart w:id="79" w:name="_Toc78441351"/>
      <w:r>
        <w:rPr>
          <w:rFonts w:hint="eastAsia" w:ascii="黑体" w:hAnsi="黑体" w:eastAsia="黑体" w:cs="宋体"/>
          <w:color w:val="000000" w:themeColor="text1"/>
          <w:sz w:val="32"/>
          <w14:textFill>
            <w14:solidFill>
              <w14:schemeClr w14:val="tx1"/>
            </w14:solidFill>
          </w14:textFill>
        </w:rPr>
        <w:t>三、项目投资流程</w:t>
      </w:r>
      <w:bookmarkEnd w:id="77"/>
      <w:bookmarkEnd w:id="78"/>
      <w:bookmarkEnd w:id="79"/>
    </w:p>
    <w:p>
      <w:pPr>
        <w:spacing w:line="580" w:lineRule="exact"/>
        <w:ind w:firstLine="562" w:firstLineChars="200"/>
        <w:jc w:val="center"/>
        <w:rPr>
          <w:rFonts w:ascii="仿宋_GB2312" w:hAnsi="宋体" w:cs="宋体"/>
          <w:b/>
          <w:bCs/>
          <w:szCs w:val="28"/>
        </w:rPr>
      </w:pPr>
      <w:r>
        <w:rPr>
          <w:rFonts w:hint="eastAsia" w:ascii="仿宋_GB2312" w:hAnsi="宋体" w:cs="宋体"/>
          <w:b/>
          <w:bCs/>
          <w:szCs w:val="28"/>
        </w:rPr>
        <w:t xml:space="preserve">图表 </w:t>
      </w:r>
      <w:r>
        <w:rPr>
          <w:rFonts w:ascii="仿宋_GB2312" w:hAnsi="宋体" w:cs="宋体"/>
          <w:b/>
          <w:bCs/>
          <w:szCs w:val="28"/>
        </w:rPr>
        <w:t xml:space="preserve">16  </w:t>
      </w:r>
      <w:r>
        <w:rPr>
          <w:rFonts w:hint="eastAsia" w:ascii="仿宋_GB2312" w:hAnsi="宋体" w:cs="宋体"/>
          <w:b/>
          <w:bCs/>
          <w:szCs w:val="28"/>
        </w:rPr>
        <w:t>项目投资流程图</w:t>
      </w:r>
    </w:p>
    <w:p>
      <w:pPr>
        <w:rPr>
          <w:rFonts w:ascii="仿宋_GB2312" w:hAnsi="宋体" w:cs="宋体"/>
          <w:sz w:val="32"/>
          <w:szCs w:val="32"/>
        </w:rPr>
      </w:pPr>
      <w:r>
        <w:drawing>
          <wp:inline distT="0" distB="0" distL="0" distR="0">
            <wp:extent cx="5615940" cy="2557780"/>
            <wp:effectExtent l="0" t="0" r="381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5615940" cy="2557780"/>
                    </a:xfrm>
                    <a:prstGeom prst="rect">
                      <a:avLst/>
                    </a:prstGeom>
                  </pic:spPr>
                </pic:pic>
              </a:graphicData>
            </a:graphic>
          </wp:inline>
        </w:drawing>
      </w:r>
    </w:p>
    <w:p>
      <w:pPr>
        <w:ind w:firstLine="640" w:firstLineChars="200"/>
        <w:rPr>
          <w:rFonts w:ascii="仿宋_GB2312" w:hAnsi="宋体" w:cs="宋体"/>
          <w:sz w:val="32"/>
          <w:szCs w:val="32"/>
        </w:rPr>
      </w:pPr>
    </w:p>
    <w:sectPr>
      <w:pgSz w:w="11906" w:h="16838"/>
      <w:pgMar w:top="2098" w:right="1474" w:bottom="1985" w:left="1588" w:header="851" w:footer="1418" w:gutter="0"/>
      <w:pgNumType w:start="1" w:chapStyle="1"/>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tabs>
        <w:tab w:val="left" w:pos="2642"/>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189015"/>
      <w:docPartObj>
        <w:docPartGallery w:val="AutoText"/>
      </w:docPartObj>
    </w:sdtPr>
    <w:sdtContent>
      <w:p>
        <w:pPr>
          <w:pStyle w:val="9"/>
          <w:jc w:val="center"/>
        </w:pPr>
        <w:r>
          <w:fldChar w:fldCharType="begin"/>
        </w:r>
        <w:r>
          <w:instrText xml:space="preserve">PAGE   \* MERGEFORMAT</w:instrText>
        </w:r>
        <w:r>
          <w:fldChar w:fldCharType="separate"/>
        </w:r>
        <w:r>
          <w:rPr>
            <w:lang w:val="zh-CN"/>
          </w:rPr>
          <w:t>26</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725918"/>
                          </w:sdtPr>
                          <w:sdtEndPr>
                            <w:rPr>
                              <w:rFonts w:ascii="Times New Roman" w:hAnsi="Times New Roman" w:cs="Times New Roman"/>
                            </w:rPr>
                          </w:sdtEndPr>
                          <w:sdtContent>
                            <w:p>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1 -</w:t>
                              </w:r>
                              <w:r>
                                <w:rPr>
                                  <w:rFonts w:ascii="Times New Roman" w:hAnsi="Times New Roman" w:cs="Times New Roman"/>
                                </w:rPr>
                                <w:fldChar w:fldCharType="end"/>
                              </w:r>
                            </w:p>
                          </w:sdtContent>
                        </w:sdt>
                        <w:p>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725918"/>
                    </w:sdtPr>
                    <w:sdtEndPr>
                      <w:rPr>
                        <w:rFonts w:ascii="Times New Roman" w:hAnsi="Times New Roman" w:cs="Times New Roman"/>
                      </w:rPr>
                    </w:sdtEndPr>
                    <w:sdtContent>
                      <w:p>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1 -</w:t>
                        </w:r>
                        <w:r>
                          <w:rPr>
                            <w:rFonts w:ascii="Times New Roman" w:hAnsi="Times New Roman" w:cs="Times New Roman"/>
                          </w:rPr>
                          <w:fldChar w:fldCharType="end"/>
                        </w:r>
                      </w:p>
                    </w:sdtContent>
                  </w:sdt>
                  <w:p>
                    <w:pPr>
                      <w:rPr>
                        <w:rFonts w:ascii="Times New Roman" w:hAnsi="Times New Roman" w:cs="Times New Roman"/>
                      </w:rPr>
                    </w:pPr>
                  </w:p>
                </w:txbxContent>
              </v:textbox>
            </v:shape>
          </w:pict>
        </mc:Fallback>
      </mc:AlternateContent>
    </w:r>
  </w:p>
  <w:p>
    <w:pPr>
      <w:pStyle w:val="9"/>
      <w:tabs>
        <w:tab w:val="left" w:pos="2642"/>
        <w:tab w:val="clear" w:pos="4153"/>
        <w:tab w:val="clear" w:pos="8306"/>
      </w:tabs>
      <w:jc w:val="center"/>
      <w:rPr>
        <w:b/>
        <w:color w:val="00B0F0"/>
        <w:sz w:val="16"/>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346"/>
        <w:tab w:val="center" w:pos="4153"/>
        <w:tab w:val="center" w:pos="4214"/>
        <w:tab w:val="right" w:pos="8306"/>
      </w:tabs>
      <w:snapToGrid w:val="0"/>
      <w:jc w:val="center"/>
      <w:rPr>
        <w:rFonts w:ascii="华文新魏" w:eastAsia="华文新魏"/>
        <w:b/>
        <w:color w:val="00B0F0"/>
        <w:sz w:val="22"/>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hYzQyYzA4Yzg3OWE3ZTI2MTdjOWJhYTc3MTQ2MDIifQ=="/>
  </w:docVars>
  <w:rsids>
    <w:rsidRoot w:val="00777BA0"/>
    <w:rsid w:val="0000043C"/>
    <w:rsid w:val="00000714"/>
    <w:rsid w:val="000008C8"/>
    <w:rsid w:val="000031D9"/>
    <w:rsid w:val="00003467"/>
    <w:rsid w:val="00003628"/>
    <w:rsid w:val="00003671"/>
    <w:rsid w:val="000036CB"/>
    <w:rsid w:val="000037CE"/>
    <w:rsid w:val="00003BFC"/>
    <w:rsid w:val="00004294"/>
    <w:rsid w:val="00005CB1"/>
    <w:rsid w:val="000060D7"/>
    <w:rsid w:val="000064FB"/>
    <w:rsid w:val="00006AC5"/>
    <w:rsid w:val="00006D73"/>
    <w:rsid w:val="00007744"/>
    <w:rsid w:val="00007C0F"/>
    <w:rsid w:val="000106D5"/>
    <w:rsid w:val="0001081A"/>
    <w:rsid w:val="00011430"/>
    <w:rsid w:val="000118C7"/>
    <w:rsid w:val="000126B0"/>
    <w:rsid w:val="00012C88"/>
    <w:rsid w:val="00013C78"/>
    <w:rsid w:val="0001491F"/>
    <w:rsid w:val="00014CBB"/>
    <w:rsid w:val="000152E9"/>
    <w:rsid w:val="000159EE"/>
    <w:rsid w:val="00017C76"/>
    <w:rsid w:val="00017C7C"/>
    <w:rsid w:val="00020046"/>
    <w:rsid w:val="00021509"/>
    <w:rsid w:val="0002195B"/>
    <w:rsid w:val="000228CC"/>
    <w:rsid w:val="00023550"/>
    <w:rsid w:val="0002425A"/>
    <w:rsid w:val="00024489"/>
    <w:rsid w:val="000251C8"/>
    <w:rsid w:val="00025266"/>
    <w:rsid w:val="000256C7"/>
    <w:rsid w:val="00025FEB"/>
    <w:rsid w:val="000262F6"/>
    <w:rsid w:val="00026471"/>
    <w:rsid w:val="000270E5"/>
    <w:rsid w:val="000272D7"/>
    <w:rsid w:val="0002738E"/>
    <w:rsid w:val="00027A62"/>
    <w:rsid w:val="0003005E"/>
    <w:rsid w:val="000305F3"/>
    <w:rsid w:val="000307AA"/>
    <w:rsid w:val="00030B8E"/>
    <w:rsid w:val="00030EB3"/>
    <w:rsid w:val="00031813"/>
    <w:rsid w:val="0003187F"/>
    <w:rsid w:val="0003227C"/>
    <w:rsid w:val="00032480"/>
    <w:rsid w:val="00033107"/>
    <w:rsid w:val="00033465"/>
    <w:rsid w:val="0003394E"/>
    <w:rsid w:val="00033E67"/>
    <w:rsid w:val="00034139"/>
    <w:rsid w:val="0003437E"/>
    <w:rsid w:val="0003519A"/>
    <w:rsid w:val="000352E5"/>
    <w:rsid w:val="0003547A"/>
    <w:rsid w:val="0003567E"/>
    <w:rsid w:val="0003613F"/>
    <w:rsid w:val="00036BF2"/>
    <w:rsid w:val="0003701D"/>
    <w:rsid w:val="00037B0B"/>
    <w:rsid w:val="00037DCF"/>
    <w:rsid w:val="00041CC1"/>
    <w:rsid w:val="00042E47"/>
    <w:rsid w:val="0004323C"/>
    <w:rsid w:val="00044C79"/>
    <w:rsid w:val="00045E9B"/>
    <w:rsid w:val="00045FE2"/>
    <w:rsid w:val="00046E05"/>
    <w:rsid w:val="0004746E"/>
    <w:rsid w:val="00050268"/>
    <w:rsid w:val="00050F11"/>
    <w:rsid w:val="00051645"/>
    <w:rsid w:val="00052A71"/>
    <w:rsid w:val="00053773"/>
    <w:rsid w:val="0005397A"/>
    <w:rsid w:val="0005440A"/>
    <w:rsid w:val="00055B4C"/>
    <w:rsid w:val="0005631F"/>
    <w:rsid w:val="00056DB7"/>
    <w:rsid w:val="00057997"/>
    <w:rsid w:val="00057B10"/>
    <w:rsid w:val="00061626"/>
    <w:rsid w:val="00061B66"/>
    <w:rsid w:val="00062078"/>
    <w:rsid w:val="0006227C"/>
    <w:rsid w:val="000622B4"/>
    <w:rsid w:val="00062B15"/>
    <w:rsid w:val="00062F42"/>
    <w:rsid w:val="00064A7E"/>
    <w:rsid w:val="000658D3"/>
    <w:rsid w:val="00066C36"/>
    <w:rsid w:val="0006743B"/>
    <w:rsid w:val="00067E5D"/>
    <w:rsid w:val="0007018B"/>
    <w:rsid w:val="000705E8"/>
    <w:rsid w:val="000707F1"/>
    <w:rsid w:val="0007172F"/>
    <w:rsid w:val="00072AFD"/>
    <w:rsid w:val="000737B2"/>
    <w:rsid w:val="00074258"/>
    <w:rsid w:val="00074A9A"/>
    <w:rsid w:val="00075139"/>
    <w:rsid w:val="00075C6A"/>
    <w:rsid w:val="00075EFA"/>
    <w:rsid w:val="0007671D"/>
    <w:rsid w:val="0008154C"/>
    <w:rsid w:val="00081667"/>
    <w:rsid w:val="00081E8C"/>
    <w:rsid w:val="000821D9"/>
    <w:rsid w:val="00082C5A"/>
    <w:rsid w:val="00082DE8"/>
    <w:rsid w:val="00084214"/>
    <w:rsid w:val="0008450B"/>
    <w:rsid w:val="000848E5"/>
    <w:rsid w:val="0008529D"/>
    <w:rsid w:val="00085809"/>
    <w:rsid w:val="000863AB"/>
    <w:rsid w:val="000879B7"/>
    <w:rsid w:val="000900DB"/>
    <w:rsid w:val="00090E64"/>
    <w:rsid w:val="00090EDA"/>
    <w:rsid w:val="0009299A"/>
    <w:rsid w:val="000929D6"/>
    <w:rsid w:val="00092E7F"/>
    <w:rsid w:val="00093E88"/>
    <w:rsid w:val="00095817"/>
    <w:rsid w:val="00095CB0"/>
    <w:rsid w:val="00096242"/>
    <w:rsid w:val="00096B08"/>
    <w:rsid w:val="00096CC5"/>
    <w:rsid w:val="000970CD"/>
    <w:rsid w:val="00097EDC"/>
    <w:rsid w:val="000A07EE"/>
    <w:rsid w:val="000A20F3"/>
    <w:rsid w:val="000A3E23"/>
    <w:rsid w:val="000A511A"/>
    <w:rsid w:val="000A53E1"/>
    <w:rsid w:val="000A5D21"/>
    <w:rsid w:val="000A6ADB"/>
    <w:rsid w:val="000A7119"/>
    <w:rsid w:val="000A7B94"/>
    <w:rsid w:val="000B05F7"/>
    <w:rsid w:val="000B0DC4"/>
    <w:rsid w:val="000B1FAC"/>
    <w:rsid w:val="000B39EA"/>
    <w:rsid w:val="000B3DED"/>
    <w:rsid w:val="000B3F58"/>
    <w:rsid w:val="000B4B12"/>
    <w:rsid w:val="000B57D8"/>
    <w:rsid w:val="000B5948"/>
    <w:rsid w:val="000B66DC"/>
    <w:rsid w:val="000B696A"/>
    <w:rsid w:val="000B696F"/>
    <w:rsid w:val="000B739B"/>
    <w:rsid w:val="000B76F0"/>
    <w:rsid w:val="000C0940"/>
    <w:rsid w:val="000C17E6"/>
    <w:rsid w:val="000C303A"/>
    <w:rsid w:val="000C36E5"/>
    <w:rsid w:val="000C3BC5"/>
    <w:rsid w:val="000C5B8B"/>
    <w:rsid w:val="000C6247"/>
    <w:rsid w:val="000C67C0"/>
    <w:rsid w:val="000C7943"/>
    <w:rsid w:val="000C7B05"/>
    <w:rsid w:val="000D0102"/>
    <w:rsid w:val="000D1FFC"/>
    <w:rsid w:val="000D2F08"/>
    <w:rsid w:val="000D3CE0"/>
    <w:rsid w:val="000D3CF3"/>
    <w:rsid w:val="000D4774"/>
    <w:rsid w:val="000D4AE7"/>
    <w:rsid w:val="000D6409"/>
    <w:rsid w:val="000D668F"/>
    <w:rsid w:val="000D77DF"/>
    <w:rsid w:val="000D7DB4"/>
    <w:rsid w:val="000D7E8E"/>
    <w:rsid w:val="000E16AA"/>
    <w:rsid w:val="000E1B65"/>
    <w:rsid w:val="000E25A9"/>
    <w:rsid w:val="000E26AF"/>
    <w:rsid w:val="000E28E4"/>
    <w:rsid w:val="000E300D"/>
    <w:rsid w:val="000E3698"/>
    <w:rsid w:val="000E387C"/>
    <w:rsid w:val="000E44C7"/>
    <w:rsid w:val="000E487D"/>
    <w:rsid w:val="000E4B3B"/>
    <w:rsid w:val="000E5123"/>
    <w:rsid w:val="000E58DA"/>
    <w:rsid w:val="000E5B3A"/>
    <w:rsid w:val="000E623E"/>
    <w:rsid w:val="000E6298"/>
    <w:rsid w:val="000F16F0"/>
    <w:rsid w:val="000F191C"/>
    <w:rsid w:val="000F3563"/>
    <w:rsid w:val="000F3DEE"/>
    <w:rsid w:val="000F4470"/>
    <w:rsid w:val="000F4691"/>
    <w:rsid w:val="000F4E7C"/>
    <w:rsid w:val="000F5203"/>
    <w:rsid w:val="000F6806"/>
    <w:rsid w:val="000F6A8B"/>
    <w:rsid w:val="000F704B"/>
    <w:rsid w:val="000F7A7F"/>
    <w:rsid w:val="001006AC"/>
    <w:rsid w:val="001010A0"/>
    <w:rsid w:val="00101986"/>
    <w:rsid w:val="00102071"/>
    <w:rsid w:val="001023FC"/>
    <w:rsid w:val="00102555"/>
    <w:rsid w:val="00102D39"/>
    <w:rsid w:val="00103E81"/>
    <w:rsid w:val="001045D7"/>
    <w:rsid w:val="00106C58"/>
    <w:rsid w:val="00106F52"/>
    <w:rsid w:val="00107619"/>
    <w:rsid w:val="00110033"/>
    <w:rsid w:val="00110113"/>
    <w:rsid w:val="00111C88"/>
    <w:rsid w:val="00111D95"/>
    <w:rsid w:val="0011218F"/>
    <w:rsid w:val="00112D17"/>
    <w:rsid w:val="00113716"/>
    <w:rsid w:val="0011426C"/>
    <w:rsid w:val="001143EA"/>
    <w:rsid w:val="00114A34"/>
    <w:rsid w:val="00115801"/>
    <w:rsid w:val="00115882"/>
    <w:rsid w:val="0011651C"/>
    <w:rsid w:val="00116DC4"/>
    <w:rsid w:val="001177D1"/>
    <w:rsid w:val="001179E6"/>
    <w:rsid w:val="00120730"/>
    <w:rsid w:val="001209C7"/>
    <w:rsid w:val="00120FB0"/>
    <w:rsid w:val="0012138E"/>
    <w:rsid w:val="00121B9A"/>
    <w:rsid w:val="00121D11"/>
    <w:rsid w:val="001221F6"/>
    <w:rsid w:val="00122303"/>
    <w:rsid w:val="00122870"/>
    <w:rsid w:val="0012291B"/>
    <w:rsid w:val="00122B7B"/>
    <w:rsid w:val="00123149"/>
    <w:rsid w:val="00123562"/>
    <w:rsid w:val="00123DD7"/>
    <w:rsid w:val="0012607F"/>
    <w:rsid w:val="00126937"/>
    <w:rsid w:val="00126C24"/>
    <w:rsid w:val="00130305"/>
    <w:rsid w:val="001307F7"/>
    <w:rsid w:val="00131089"/>
    <w:rsid w:val="001314D0"/>
    <w:rsid w:val="00133A09"/>
    <w:rsid w:val="0013427F"/>
    <w:rsid w:val="00135298"/>
    <w:rsid w:val="001356F1"/>
    <w:rsid w:val="00135880"/>
    <w:rsid w:val="001358F6"/>
    <w:rsid w:val="00135C55"/>
    <w:rsid w:val="001364EB"/>
    <w:rsid w:val="00136D7F"/>
    <w:rsid w:val="0013718F"/>
    <w:rsid w:val="00137AA9"/>
    <w:rsid w:val="00140258"/>
    <w:rsid w:val="001415F9"/>
    <w:rsid w:val="00141D8D"/>
    <w:rsid w:val="00141D94"/>
    <w:rsid w:val="0014254A"/>
    <w:rsid w:val="00142D3C"/>
    <w:rsid w:val="0014593C"/>
    <w:rsid w:val="001464C9"/>
    <w:rsid w:val="0014698D"/>
    <w:rsid w:val="00147262"/>
    <w:rsid w:val="00150B51"/>
    <w:rsid w:val="001514F9"/>
    <w:rsid w:val="00151708"/>
    <w:rsid w:val="00151877"/>
    <w:rsid w:val="00151CD6"/>
    <w:rsid w:val="00152144"/>
    <w:rsid w:val="0015217E"/>
    <w:rsid w:val="001529E1"/>
    <w:rsid w:val="001532E9"/>
    <w:rsid w:val="00153905"/>
    <w:rsid w:val="001541D6"/>
    <w:rsid w:val="00154DE1"/>
    <w:rsid w:val="00155115"/>
    <w:rsid w:val="001556B2"/>
    <w:rsid w:val="00155FB6"/>
    <w:rsid w:val="00156BF9"/>
    <w:rsid w:val="0015773E"/>
    <w:rsid w:val="001600ED"/>
    <w:rsid w:val="001603C7"/>
    <w:rsid w:val="00160D23"/>
    <w:rsid w:val="001620F7"/>
    <w:rsid w:val="00163093"/>
    <w:rsid w:val="00163BEF"/>
    <w:rsid w:val="00165CC1"/>
    <w:rsid w:val="00167471"/>
    <w:rsid w:val="001709E0"/>
    <w:rsid w:val="0017129E"/>
    <w:rsid w:val="00171B16"/>
    <w:rsid w:val="00172B0A"/>
    <w:rsid w:val="00172B77"/>
    <w:rsid w:val="00172CA2"/>
    <w:rsid w:val="00173CDB"/>
    <w:rsid w:val="00174B70"/>
    <w:rsid w:val="00175345"/>
    <w:rsid w:val="001758B9"/>
    <w:rsid w:val="001769F8"/>
    <w:rsid w:val="00177351"/>
    <w:rsid w:val="00180F99"/>
    <w:rsid w:val="00181513"/>
    <w:rsid w:val="00181705"/>
    <w:rsid w:val="00181DF3"/>
    <w:rsid w:val="00182312"/>
    <w:rsid w:val="00182DF3"/>
    <w:rsid w:val="00182E1E"/>
    <w:rsid w:val="00183164"/>
    <w:rsid w:val="00183A01"/>
    <w:rsid w:val="00186C7C"/>
    <w:rsid w:val="00186CC5"/>
    <w:rsid w:val="0018776A"/>
    <w:rsid w:val="00187E6B"/>
    <w:rsid w:val="0019057E"/>
    <w:rsid w:val="00190690"/>
    <w:rsid w:val="00191DC8"/>
    <w:rsid w:val="00192BEF"/>
    <w:rsid w:val="00192FA4"/>
    <w:rsid w:val="00193835"/>
    <w:rsid w:val="00193A8E"/>
    <w:rsid w:val="001950B0"/>
    <w:rsid w:val="001954DA"/>
    <w:rsid w:val="00196438"/>
    <w:rsid w:val="0019659B"/>
    <w:rsid w:val="001965AF"/>
    <w:rsid w:val="00196F13"/>
    <w:rsid w:val="001971B0"/>
    <w:rsid w:val="001971DE"/>
    <w:rsid w:val="00197DF7"/>
    <w:rsid w:val="001A0B66"/>
    <w:rsid w:val="001A0C04"/>
    <w:rsid w:val="001A181F"/>
    <w:rsid w:val="001A222F"/>
    <w:rsid w:val="001A2591"/>
    <w:rsid w:val="001A31AC"/>
    <w:rsid w:val="001A48BB"/>
    <w:rsid w:val="001A518C"/>
    <w:rsid w:val="001A58C0"/>
    <w:rsid w:val="001A5AD9"/>
    <w:rsid w:val="001A6056"/>
    <w:rsid w:val="001A6324"/>
    <w:rsid w:val="001B0335"/>
    <w:rsid w:val="001B0577"/>
    <w:rsid w:val="001B1E91"/>
    <w:rsid w:val="001B3245"/>
    <w:rsid w:val="001B4104"/>
    <w:rsid w:val="001B4FAD"/>
    <w:rsid w:val="001B5735"/>
    <w:rsid w:val="001B5FFA"/>
    <w:rsid w:val="001B6796"/>
    <w:rsid w:val="001B6F23"/>
    <w:rsid w:val="001C01D5"/>
    <w:rsid w:val="001C098C"/>
    <w:rsid w:val="001C1E26"/>
    <w:rsid w:val="001C1E36"/>
    <w:rsid w:val="001C26F2"/>
    <w:rsid w:val="001C2879"/>
    <w:rsid w:val="001C3B08"/>
    <w:rsid w:val="001C567A"/>
    <w:rsid w:val="001C6778"/>
    <w:rsid w:val="001C780B"/>
    <w:rsid w:val="001C783D"/>
    <w:rsid w:val="001D06D7"/>
    <w:rsid w:val="001D16EC"/>
    <w:rsid w:val="001D23A6"/>
    <w:rsid w:val="001D2911"/>
    <w:rsid w:val="001D297B"/>
    <w:rsid w:val="001D2EB9"/>
    <w:rsid w:val="001D3D09"/>
    <w:rsid w:val="001D45EC"/>
    <w:rsid w:val="001D4C96"/>
    <w:rsid w:val="001D5286"/>
    <w:rsid w:val="001D52F7"/>
    <w:rsid w:val="001D6327"/>
    <w:rsid w:val="001D66A6"/>
    <w:rsid w:val="001D6974"/>
    <w:rsid w:val="001D6DD0"/>
    <w:rsid w:val="001D78FF"/>
    <w:rsid w:val="001D7D06"/>
    <w:rsid w:val="001D7FC7"/>
    <w:rsid w:val="001E02C4"/>
    <w:rsid w:val="001E063A"/>
    <w:rsid w:val="001E1044"/>
    <w:rsid w:val="001E1366"/>
    <w:rsid w:val="001E1694"/>
    <w:rsid w:val="001E2720"/>
    <w:rsid w:val="001E4700"/>
    <w:rsid w:val="001E5D7B"/>
    <w:rsid w:val="001E5D80"/>
    <w:rsid w:val="001E68CE"/>
    <w:rsid w:val="001E69BA"/>
    <w:rsid w:val="001E6A2E"/>
    <w:rsid w:val="001E6AF8"/>
    <w:rsid w:val="001E7A23"/>
    <w:rsid w:val="001E7FB3"/>
    <w:rsid w:val="001E7FF9"/>
    <w:rsid w:val="001F00FE"/>
    <w:rsid w:val="001F0444"/>
    <w:rsid w:val="001F0C7C"/>
    <w:rsid w:val="001F0E9D"/>
    <w:rsid w:val="001F1334"/>
    <w:rsid w:val="001F1B8F"/>
    <w:rsid w:val="001F1ED2"/>
    <w:rsid w:val="001F2019"/>
    <w:rsid w:val="001F47E6"/>
    <w:rsid w:val="001F5FE7"/>
    <w:rsid w:val="001F616F"/>
    <w:rsid w:val="001F639C"/>
    <w:rsid w:val="001F74FC"/>
    <w:rsid w:val="0020145C"/>
    <w:rsid w:val="00201532"/>
    <w:rsid w:val="0020174A"/>
    <w:rsid w:val="00202DA3"/>
    <w:rsid w:val="00202F9C"/>
    <w:rsid w:val="0020347C"/>
    <w:rsid w:val="002034A1"/>
    <w:rsid w:val="0020590D"/>
    <w:rsid w:val="00205DBD"/>
    <w:rsid w:val="00206B9C"/>
    <w:rsid w:val="00207494"/>
    <w:rsid w:val="002101B5"/>
    <w:rsid w:val="00210753"/>
    <w:rsid w:val="0021081F"/>
    <w:rsid w:val="00210B96"/>
    <w:rsid w:val="00210CD5"/>
    <w:rsid w:val="00210E73"/>
    <w:rsid w:val="00211123"/>
    <w:rsid w:val="00211B2F"/>
    <w:rsid w:val="00211EC0"/>
    <w:rsid w:val="00212516"/>
    <w:rsid w:val="00212BC0"/>
    <w:rsid w:val="00213395"/>
    <w:rsid w:val="00213933"/>
    <w:rsid w:val="002173F2"/>
    <w:rsid w:val="00217A6E"/>
    <w:rsid w:val="00217AC4"/>
    <w:rsid w:val="002203ED"/>
    <w:rsid w:val="0022047B"/>
    <w:rsid w:val="00221DB1"/>
    <w:rsid w:val="00221DC1"/>
    <w:rsid w:val="002221F0"/>
    <w:rsid w:val="00222E8F"/>
    <w:rsid w:val="002236D1"/>
    <w:rsid w:val="00223D7C"/>
    <w:rsid w:val="0022432E"/>
    <w:rsid w:val="002253C4"/>
    <w:rsid w:val="002254F1"/>
    <w:rsid w:val="00225661"/>
    <w:rsid w:val="00226292"/>
    <w:rsid w:val="00226F13"/>
    <w:rsid w:val="002319B7"/>
    <w:rsid w:val="00231BD2"/>
    <w:rsid w:val="002320D0"/>
    <w:rsid w:val="00233BF8"/>
    <w:rsid w:val="00233C00"/>
    <w:rsid w:val="00236038"/>
    <w:rsid w:val="002367A3"/>
    <w:rsid w:val="0023707B"/>
    <w:rsid w:val="00237493"/>
    <w:rsid w:val="002376FC"/>
    <w:rsid w:val="00237A9A"/>
    <w:rsid w:val="00240196"/>
    <w:rsid w:val="00241016"/>
    <w:rsid w:val="0024109E"/>
    <w:rsid w:val="00241126"/>
    <w:rsid w:val="00243092"/>
    <w:rsid w:val="00243601"/>
    <w:rsid w:val="00243F2D"/>
    <w:rsid w:val="00244137"/>
    <w:rsid w:val="00244863"/>
    <w:rsid w:val="00245B97"/>
    <w:rsid w:val="00246850"/>
    <w:rsid w:val="00246855"/>
    <w:rsid w:val="0024689E"/>
    <w:rsid w:val="00246EFF"/>
    <w:rsid w:val="00246F9C"/>
    <w:rsid w:val="0024752D"/>
    <w:rsid w:val="002477D6"/>
    <w:rsid w:val="00247868"/>
    <w:rsid w:val="002478CF"/>
    <w:rsid w:val="00250B6E"/>
    <w:rsid w:val="0025108A"/>
    <w:rsid w:val="00251B83"/>
    <w:rsid w:val="00251B86"/>
    <w:rsid w:val="00251BFB"/>
    <w:rsid w:val="00253DA4"/>
    <w:rsid w:val="00254786"/>
    <w:rsid w:val="002567E2"/>
    <w:rsid w:val="00257ED3"/>
    <w:rsid w:val="0026057E"/>
    <w:rsid w:val="00262296"/>
    <w:rsid w:val="00262CE4"/>
    <w:rsid w:val="00262F3C"/>
    <w:rsid w:val="00263437"/>
    <w:rsid w:val="00263628"/>
    <w:rsid w:val="002638FF"/>
    <w:rsid w:val="00263A12"/>
    <w:rsid w:val="00263E0E"/>
    <w:rsid w:val="00264806"/>
    <w:rsid w:val="00264E52"/>
    <w:rsid w:val="00264F1D"/>
    <w:rsid w:val="002651D6"/>
    <w:rsid w:val="0026529E"/>
    <w:rsid w:val="00265621"/>
    <w:rsid w:val="0026613C"/>
    <w:rsid w:val="00266BA4"/>
    <w:rsid w:val="002671BD"/>
    <w:rsid w:val="0026755C"/>
    <w:rsid w:val="0027095F"/>
    <w:rsid w:val="00271D64"/>
    <w:rsid w:val="00272486"/>
    <w:rsid w:val="00272644"/>
    <w:rsid w:val="002732B2"/>
    <w:rsid w:val="002736B1"/>
    <w:rsid w:val="002737B9"/>
    <w:rsid w:val="00273C24"/>
    <w:rsid w:val="002743F8"/>
    <w:rsid w:val="0027553E"/>
    <w:rsid w:val="002757AF"/>
    <w:rsid w:val="0027675B"/>
    <w:rsid w:val="00276ED2"/>
    <w:rsid w:val="00277567"/>
    <w:rsid w:val="002775F7"/>
    <w:rsid w:val="0028035E"/>
    <w:rsid w:val="002809AE"/>
    <w:rsid w:val="00281C61"/>
    <w:rsid w:val="00282281"/>
    <w:rsid w:val="002824EF"/>
    <w:rsid w:val="00282602"/>
    <w:rsid w:val="0028348F"/>
    <w:rsid w:val="00284802"/>
    <w:rsid w:val="002848E5"/>
    <w:rsid w:val="00284DDA"/>
    <w:rsid w:val="00284E98"/>
    <w:rsid w:val="00285C96"/>
    <w:rsid w:val="00286AE3"/>
    <w:rsid w:val="002877AB"/>
    <w:rsid w:val="00287A5C"/>
    <w:rsid w:val="00291088"/>
    <w:rsid w:val="0029129F"/>
    <w:rsid w:val="00291838"/>
    <w:rsid w:val="00291DBE"/>
    <w:rsid w:val="0029356C"/>
    <w:rsid w:val="00293B12"/>
    <w:rsid w:val="002967C7"/>
    <w:rsid w:val="00296D60"/>
    <w:rsid w:val="00297519"/>
    <w:rsid w:val="00297820"/>
    <w:rsid w:val="00297ADF"/>
    <w:rsid w:val="002A056C"/>
    <w:rsid w:val="002A0B59"/>
    <w:rsid w:val="002A1136"/>
    <w:rsid w:val="002A26AD"/>
    <w:rsid w:val="002A2BA0"/>
    <w:rsid w:val="002A33E5"/>
    <w:rsid w:val="002A3EFE"/>
    <w:rsid w:val="002A442A"/>
    <w:rsid w:val="002A4739"/>
    <w:rsid w:val="002A4909"/>
    <w:rsid w:val="002A4DAB"/>
    <w:rsid w:val="002A5695"/>
    <w:rsid w:val="002A584B"/>
    <w:rsid w:val="002A643F"/>
    <w:rsid w:val="002A68D7"/>
    <w:rsid w:val="002A7766"/>
    <w:rsid w:val="002B01E4"/>
    <w:rsid w:val="002B040D"/>
    <w:rsid w:val="002B1467"/>
    <w:rsid w:val="002B38A5"/>
    <w:rsid w:val="002B46F1"/>
    <w:rsid w:val="002B4F60"/>
    <w:rsid w:val="002B66DF"/>
    <w:rsid w:val="002C0703"/>
    <w:rsid w:val="002C0DE7"/>
    <w:rsid w:val="002C11D2"/>
    <w:rsid w:val="002C3AA4"/>
    <w:rsid w:val="002C46A2"/>
    <w:rsid w:val="002C4B61"/>
    <w:rsid w:val="002C5068"/>
    <w:rsid w:val="002C632F"/>
    <w:rsid w:val="002C6A69"/>
    <w:rsid w:val="002C7E51"/>
    <w:rsid w:val="002D052D"/>
    <w:rsid w:val="002D0E18"/>
    <w:rsid w:val="002D20B1"/>
    <w:rsid w:val="002D2220"/>
    <w:rsid w:val="002D48C9"/>
    <w:rsid w:val="002D5251"/>
    <w:rsid w:val="002D6510"/>
    <w:rsid w:val="002D772C"/>
    <w:rsid w:val="002D7AEC"/>
    <w:rsid w:val="002D7CB5"/>
    <w:rsid w:val="002E1982"/>
    <w:rsid w:val="002E206E"/>
    <w:rsid w:val="002E2C5E"/>
    <w:rsid w:val="002E3049"/>
    <w:rsid w:val="002E3256"/>
    <w:rsid w:val="002E3BBC"/>
    <w:rsid w:val="002E3F1B"/>
    <w:rsid w:val="002E4E5A"/>
    <w:rsid w:val="002E5E14"/>
    <w:rsid w:val="002E660F"/>
    <w:rsid w:val="002E662B"/>
    <w:rsid w:val="002E6CC4"/>
    <w:rsid w:val="002E7481"/>
    <w:rsid w:val="002F0311"/>
    <w:rsid w:val="002F0380"/>
    <w:rsid w:val="002F05EB"/>
    <w:rsid w:val="002F21EA"/>
    <w:rsid w:val="002F24E7"/>
    <w:rsid w:val="002F26CD"/>
    <w:rsid w:val="002F2BA9"/>
    <w:rsid w:val="002F2C74"/>
    <w:rsid w:val="002F3226"/>
    <w:rsid w:val="002F32FB"/>
    <w:rsid w:val="002F34F6"/>
    <w:rsid w:val="002F37BB"/>
    <w:rsid w:val="002F3A76"/>
    <w:rsid w:val="002F442E"/>
    <w:rsid w:val="002F44DB"/>
    <w:rsid w:val="002F52E5"/>
    <w:rsid w:val="002F5BCE"/>
    <w:rsid w:val="002F62A5"/>
    <w:rsid w:val="002F6DEA"/>
    <w:rsid w:val="002F6EC1"/>
    <w:rsid w:val="002F76CF"/>
    <w:rsid w:val="003001DD"/>
    <w:rsid w:val="00300BCF"/>
    <w:rsid w:val="003010B3"/>
    <w:rsid w:val="003011B2"/>
    <w:rsid w:val="00301605"/>
    <w:rsid w:val="00301D0C"/>
    <w:rsid w:val="003028E3"/>
    <w:rsid w:val="003033D3"/>
    <w:rsid w:val="00303AD6"/>
    <w:rsid w:val="00303BD3"/>
    <w:rsid w:val="00304341"/>
    <w:rsid w:val="00306D38"/>
    <w:rsid w:val="003072BD"/>
    <w:rsid w:val="003079BB"/>
    <w:rsid w:val="00310207"/>
    <w:rsid w:val="0031028C"/>
    <w:rsid w:val="00310803"/>
    <w:rsid w:val="003121FF"/>
    <w:rsid w:val="0031243A"/>
    <w:rsid w:val="0031277C"/>
    <w:rsid w:val="00313041"/>
    <w:rsid w:val="00313A4D"/>
    <w:rsid w:val="00313D69"/>
    <w:rsid w:val="003145C0"/>
    <w:rsid w:val="0031596E"/>
    <w:rsid w:val="00315D55"/>
    <w:rsid w:val="0031602D"/>
    <w:rsid w:val="00317C6D"/>
    <w:rsid w:val="00320607"/>
    <w:rsid w:val="003206AC"/>
    <w:rsid w:val="00320B78"/>
    <w:rsid w:val="00320BAC"/>
    <w:rsid w:val="0032100B"/>
    <w:rsid w:val="0032239C"/>
    <w:rsid w:val="003224D0"/>
    <w:rsid w:val="00324236"/>
    <w:rsid w:val="00326287"/>
    <w:rsid w:val="0032715C"/>
    <w:rsid w:val="00327E54"/>
    <w:rsid w:val="00330711"/>
    <w:rsid w:val="00330BA5"/>
    <w:rsid w:val="00332CB3"/>
    <w:rsid w:val="00332ECD"/>
    <w:rsid w:val="00333661"/>
    <w:rsid w:val="0033377F"/>
    <w:rsid w:val="003349CA"/>
    <w:rsid w:val="003350AE"/>
    <w:rsid w:val="00335468"/>
    <w:rsid w:val="003378CD"/>
    <w:rsid w:val="003407D9"/>
    <w:rsid w:val="00341014"/>
    <w:rsid w:val="00341062"/>
    <w:rsid w:val="0034208D"/>
    <w:rsid w:val="003423EA"/>
    <w:rsid w:val="00346309"/>
    <w:rsid w:val="0034640D"/>
    <w:rsid w:val="00346E7D"/>
    <w:rsid w:val="0034747A"/>
    <w:rsid w:val="00347C34"/>
    <w:rsid w:val="00351293"/>
    <w:rsid w:val="00351697"/>
    <w:rsid w:val="00351A51"/>
    <w:rsid w:val="00352139"/>
    <w:rsid w:val="00352E04"/>
    <w:rsid w:val="00353365"/>
    <w:rsid w:val="00353FE3"/>
    <w:rsid w:val="00354F06"/>
    <w:rsid w:val="00356549"/>
    <w:rsid w:val="00356652"/>
    <w:rsid w:val="00356947"/>
    <w:rsid w:val="00356A9C"/>
    <w:rsid w:val="00356F10"/>
    <w:rsid w:val="00357118"/>
    <w:rsid w:val="00357555"/>
    <w:rsid w:val="003578B5"/>
    <w:rsid w:val="003579B7"/>
    <w:rsid w:val="0036026C"/>
    <w:rsid w:val="003605B3"/>
    <w:rsid w:val="00360A43"/>
    <w:rsid w:val="0036138E"/>
    <w:rsid w:val="0036141E"/>
    <w:rsid w:val="00361776"/>
    <w:rsid w:val="00361E1C"/>
    <w:rsid w:val="00361F83"/>
    <w:rsid w:val="00361FD2"/>
    <w:rsid w:val="0036287A"/>
    <w:rsid w:val="00363711"/>
    <w:rsid w:val="00366D09"/>
    <w:rsid w:val="00366FAD"/>
    <w:rsid w:val="0036710A"/>
    <w:rsid w:val="003676D1"/>
    <w:rsid w:val="003677D5"/>
    <w:rsid w:val="003678B7"/>
    <w:rsid w:val="00367C3E"/>
    <w:rsid w:val="00370850"/>
    <w:rsid w:val="00370939"/>
    <w:rsid w:val="00370B2D"/>
    <w:rsid w:val="00371188"/>
    <w:rsid w:val="003728FE"/>
    <w:rsid w:val="00375DDC"/>
    <w:rsid w:val="00376939"/>
    <w:rsid w:val="003805F5"/>
    <w:rsid w:val="0038114B"/>
    <w:rsid w:val="00381D3D"/>
    <w:rsid w:val="00382C26"/>
    <w:rsid w:val="00382F94"/>
    <w:rsid w:val="00383F51"/>
    <w:rsid w:val="00384671"/>
    <w:rsid w:val="00384723"/>
    <w:rsid w:val="0038479F"/>
    <w:rsid w:val="003853FC"/>
    <w:rsid w:val="00390B2C"/>
    <w:rsid w:val="00391337"/>
    <w:rsid w:val="00392D0B"/>
    <w:rsid w:val="003931FF"/>
    <w:rsid w:val="0039384D"/>
    <w:rsid w:val="0039427C"/>
    <w:rsid w:val="0039434A"/>
    <w:rsid w:val="00394875"/>
    <w:rsid w:val="00394B84"/>
    <w:rsid w:val="003953E4"/>
    <w:rsid w:val="00396951"/>
    <w:rsid w:val="00396CC3"/>
    <w:rsid w:val="00396F3A"/>
    <w:rsid w:val="0039752F"/>
    <w:rsid w:val="003975ED"/>
    <w:rsid w:val="003A0CEF"/>
    <w:rsid w:val="003A0ED9"/>
    <w:rsid w:val="003A1211"/>
    <w:rsid w:val="003A1494"/>
    <w:rsid w:val="003A188B"/>
    <w:rsid w:val="003A250E"/>
    <w:rsid w:val="003A32E6"/>
    <w:rsid w:val="003A4E7F"/>
    <w:rsid w:val="003A4F8B"/>
    <w:rsid w:val="003A57CD"/>
    <w:rsid w:val="003A6455"/>
    <w:rsid w:val="003A75C8"/>
    <w:rsid w:val="003A7E9E"/>
    <w:rsid w:val="003B0139"/>
    <w:rsid w:val="003B0295"/>
    <w:rsid w:val="003B04CE"/>
    <w:rsid w:val="003B0863"/>
    <w:rsid w:val="003B2420"/>
    <w:rsid w:val="003B56ED"/>
    <w:rsid w:val="003B5A85"/>
    <w:rsid w:val="003B5D69"/>
    <w:rsid w:val="003B6199"/>
    <w:rsid w:val="003B6387"/>
    <w:rsid w:val="003B6A3F"/>
    <w:rsid w:val="003B6C37"/>
    <w:rsid w:val="003B71C6"/>
    <w:rsid w:val="003B7D0E"/>
    <w:rsid w:val="003C049E"/>
    <w:rsid w:val="003C064D"/>
    <w:rsid w:val="003C0CF8"/>
    <w:rsid w:val="003C0D17"/>
    <w:rsid w:val="003C1656"/>
    <w:rsid w:val="003C17E9"/>
    <w:rsid w:val="003C196A"/>
    <w:rsid w:val="003C1A14"/>
    <w:rsid w:val="003C2666"/>
    <w:rsid w:val="003C2E51"/>
    <w:rsid w:val="003C30F2"/>
    <w:rsid w:val="003C3F33"/>
    <w:rsid w:val="003C40EA"/>
    <w:rsid w:val="003C4106"/>
    <w:rsid w:val="003C49DA"/>
    <w:rsid w:val="003C4C06"/>
    <w:rsid w:val="003C4CA8"/>
    <w:rsid w:val="003C6779"/>
    <w:rsid w:val="003C6BCD"/>
    <w:rsid w:val="003C6E11"/>
    <w:rsid w:val="003C7A98"/>
    <w:rsid w:val="003C7BA2"/>
    <w:rsid w:val="003C7FAC"/>
    <w:rsid w:val="003C7FFC"/>
    <w:rsid w:val="003D0A1D"/>
    <w:rsid w:val="003D0D4E"/>
    <w:rsid w:val="003D259D"/>
    <w:rsid w:val="003D27AB"/>
    <w:rsid w:val="003D2AD3"/>
    <w:rsid w:val="003D40B4"/>
    <w:rsid w:val="003D4C61"/>
    <w:rsid w:val="003D50D3"/>
    <w:rsid w:val="003D60A0"/>
    <w:rsid w:val="003D6C8C"/>
    <w:rsid w:val="003D7096"/>
    <w:rsid w:val="003E0D6B"/>
    <w:rsid w:val="003E104C"/>
    <w:rsid w:val="003E1291"/>
    <w:rsid w:val="003E140D"/>
    <w:rsid w:val="003E1507"/>
    <w:rsid w:val="003E1722"/>
    <w:rsid w:val="003E1AE5"/>
    <w:rsid w:val="003E27BB"/>
    <w:rsid w:val="003E34E2"/>
    <w:rsid w:val="003E392B"/>
    <w:rsid w:val="003E393A"/>
    <w:rsid w:val="003E4A36"/>
    <w:rsid w:val="003E4DD0"/>
    <w:rsid w:val="003E4FF1"/>
    <w:rsid w:val="003E5361"/>
    <w:rsid w:val="003E5767"/>
    <w:rsid w:val="003E6682"/>
    <w:rsid w:val="003E6D1F"/>
    <w:rsid w:val="003E6EE2"/>
    <w:rsid w:val="003E7BC8"/>
    <w:rsid w:val="003F0427"/>
    <w:rsid w:val="003F15A0"/>
    <w:rsid w:val="003F1742"/>
    <w:rsid w:val="003F1B0B"/>
    <w:rsid w:val="003F20D2"/>
    <w:rsid w:val="003F27C4"/>
    <w:rsid w:val="003F355F"/>
    <w:rsid w:val="003F3580"/>
    <w:rsid w:val="003F36A8"/>
    <w:rsid w:val="003F3953"/>
    <w:rsid w:val="003F3DED"/>
    <w:rsid w:val="003F4ACF"/>
    <w:rsid w:val="003F628C"/>
    <w:rsid w:val="003F6841"/>
    <w:rsid w:val="003F7328"/>
    <w:rsid w:val="0040270E"/>
    <w:rsid w:val="0040271B"/>
    <w:rsid w:val="00404079"/>
    <w:rsid w:val="00404BBF"/>
    <w:rsid w:val="00405027"/>
    <w:rsid w:val="00405CEE"/>
    <w:rsid w:val="004062C9"/>
    <w:rsid w:val="004063E8"/>
    <w:rsid w:val="00406D88"/>
    <w:rsid w:val="004070B6"/>
    <w:rsid w:val="004071DA"/>
    <w:rsid w:val="00412022"/>
    <w:rsid w:val="00412B71"/>
    <w:rsid w:val="00412FB3"/>
    <w:rsid w:val="004131D5"/>
    <w:rsid w:val="00413F75"/>
    <w:rsid w:val="00414779"/>
    <w:rsid w:val="00415507"/>
    <w:rsid w:val="00415C8B"/>
    <w:rsid w:val="00416625"/>
    <w:rsid w:val="00417245"/>
    <w:rsid w:val="00417781"/>
    <w:rsid w:val="00417926"/>
    <w:rsid w:val="004213B3"/>
    <w:rsid w:val="00421802"/>
    <w:rsid w:val="00421BE6"/>
    <w:rsid w:val="00421C0E"/>
    <w:rsid w:val="00421DDA"/>
    <w:rsid w:val="0042285B"/>
    <w:rsid w:val="00423907"/>
    <w:rsid w:val="00423988"/>
    <w:rsid w:val="00423ED6"/>
    <w:rsid w:val="00424490"/>
    <w:rsid w:val="00424598"/>
    <w:rsid w:val="004247DE"/>
    <w:rsid w:val="00425500"/>
    <w:rsid w:val="00426F1C"/>
    <w:rsid w:val="0042718B"/>
    <w:rsid w:val="00427BD4"/>
    <w:rsid w:val="0043044E"/>
    <w:rsid w:val="004305D1"/>
    <w:rsid w:val="004306C8"/>
    <w:rsid w:val="00430DCC"/>
    <w:rsid w:val="00433AB5"/>
    <w:rsid w:val="0043413B"/>
    <w:rsid w:val="004346BD"/>
    <w:rsid w:val="00434CD7"/>
    <w:rsid w:val="00434D45"/>
    <w:rsid w:val="00435A5E"/>
    <w:rsid w:val="00435D90"/>
    <w:rsid w:val="004376F1"/>
    <w:rsid w:val="00437925"/>
    <w:rsid w:val="0044165D"/>
    <w:rsid w:val="00441844"/>
    <w:rsid w:val="00441AE5"/>
    <w:rsid w:val="00442236"/>
    <w:rsid w:val="004427AC"/>
    <w:rsid w:val="00443A69"/>
    <w:rsid w:val="00443CB5"/>
    <w:rsid w:val="004449BE"/>
    <w:rsid w:val="00444AF2"/>
    <w:rsid w:val="004450A2"/>
    <w:rsid w:val="0044544B"/>
    <w:rsid w:val="00445B0B"/>
    <w:rsid w:val="00445D7B"/>
    <w:rsid w:val="00445EAB"/>
    <w:rsid w:val="00445FCE"/>
    <w:rsid w:val="00450188"/>
    <w:rsid w:val="0045062D"/>
    <w:rsid w:val="0045079A"/>
    <w:rsid w:val="004514B8"/>
    <w:rsid w:val="00451713"/>
    <w:rsid w:val="004518E1"/>
    <w:rsid w:val="0045191E"/>
    <w:rsid w:val="00451C73"/>
    <w:rsid w:val="0045285F"/>
    <w:rsid w:val="00453069"/>
    <w:rsid w:val="00453848"/>
    <w:rsid w:val="004543C5"/>
    <w:rsid w:val="00454708"/>
    <w:rsid w:val="00455E70"/>
    <w:rsid w:val="00456762"/>
    <w:rsid w:val="00456D35"/>
    <w:rsid w:val="00457EE0"/>
    <w:rsid w:val="00457F61"/>
    <w:rsid w:val="00461292"/>
    <w:rsid w:val="00463D21"/>
    <w:rsid w:val="004652D8"/>
    <w:rsid w:val="00466572"/>
    <w:rsid w:val="00466BA9"/>
    <w:rsid w:val="0046704F"/>
    <w:rsid w:val="00467388"/>
    <w:rsid w:val="00467482"/>
    <w:rsid w:val="0046770D"/>
    <w:rsid w:val="00470980"/>
    <w:rsid w:val="00470ECF"/>
    <w:rsid w:val="00471104"/>
    <w:rsid w:val="00471AAA"/>
    <w:rsid w:val="004720C0"/>
    <w:rsid w:val="00472689"/>
    <w:rsid w:val="00472E90"/>
    <w:rsid w:val="00473865"/>
    <w:rsid w:val="00473A1F"/>
    <w:rsid w:val="00473D6A"/>
    <w:rsid w:val="0047427A"/>
    <w:rsid w:val="004743F5"/>
    <w:rsid w:val="004754B7"/>
    <w:rsid w:val="004759D8"/>
    <w:rsid w:val="00475E75"/>
    <w:rsid w:val="00477088"/>
    <w:rsid w:val="0047713A"/>
    <w:rsid w:val="0047753D"/>
    <w:rsid w:val="00477F20"/>
    <w:rsid w:val="00480119"/>
    <w:rsid w:val="0048085C"/>
    <w:rsid w:val="00481237"/>
    <w:rsid w:val="00483523"/>
    <w:rsid w:val="00483AA4"/>
    <w:rsid w:val="00483FBB"/>
    <w:rsid w:val="00484896"/>
    <w:rsid w:val="0048498D"/>
    <w:rsid w:val="00485E67"/>
    <w:rsid w:val="004871E4"/>
    <w:rsid w:val="00487441"/>
    <w:rsid w:val="00487779"/>
    <w:rsid w:val="00487818"/>
    <w:rsid w:val="00490E69"/>
    <w:rsid w:val="00490F60"/>
    <w:rsid w:val="004911B2"/>
    <w:rsid w:val="00491257"/>
    <w:rsid w:val="0049170D"/>
    <w:rsid w:val="0049414F"/>
    <w:rsid w:val="0049550B"/>
    <w:rsid w:val="00496E24"/>
    <w:rsid w:val="00497020"/>
    <w:rsid w:val="0049797D"/>
    <w:rsid w:val="004A0867"/>
    <w:rsid w:val="004A1D42"/>
    <w:rsid w:val="004A313F"/>
    <w:rsid w:val="004A4321"/>
    <w:rsid w:val="004A5390"/>
    <w:rsid w:val="004A65AD"/>
    <w:rsid w:val="004A67E7"/>
    <w:rsid w:val="004A6AE4"/>
    <w:rsid w:val="004A6D18"/>
    <w:rsid w:val="004A6ED4"/>
    <w:rsid w:val="004A792A"/>
    <w:rsid w:val="004B246B"/>
    <w:rsid w:val="004B322C"/>
    <w:rsid w:val="004B36B3"/>
    <w:rsid w:val="004B396F"/>
    <w:rsid w:val="004B3C7E"/>
    <w:rsid w:val="004B4140"/>
    <w:rsid w:val="004B4D0A"/>
    <w:rsid w:val="004B500C"/>
    <w:rsid w:val="004B6FCE"/>
    <w:rsid w:val="004B75E6"/>
    <w:rsid w:val="004B7720"/>
    <w:rsid w:val="004B7A0E"/>
    <w:rsid w:val="004C0623"/>
    <w:rsid w:val="004C105B"/>
    <w:rsid w:val="004C1525"/>
    <w:rsid w:val="004C1743"/>
    <w:rsid w:val="004C192A"/>
    <w:rsid w:val="004C25B3"/>
    <w:rsid w:val="004C2A0E"/>
    <w:rsid w:val="004C2F8B"/>
    <w:rsid w:val="004C3ACC"/>
    <w:rsid w:val="004C6117"/>
    <w:rsid w:val="004C6768"/>
    <w:rsid w:val="004C7062"/>
    <w:rsid w:val="004C73C4"/>
    <w:rsid w:val="004C7D76"/>
    <w:rsid w:val="004D06EF"/>
    <w:rsid w:val="004D0815"/>
    <w:rsid w:val="004D0C7E"/>
    <w:rsid w:val="004D1C88"/>
    <w:rsid w:val="004D1D01"/>
    <w:rsid w:val="004D3086"/>
    <w:rsid w:val="004D340B"/>
    <w:rsid w:val="004D4D78"/>
    <w:rsid w:val="004D50AE"/>
    <w:rsid w:val="004D7949"/>
    <w:rsid w:val="004D7AB1"/>
    <w:rsid w:val="004E1612"/>
    <w:rsid w:val="004E1BCF"/>
    <w:rsid w:val="004E1DC9"/>
    <w:rsid w:val="004E1DFC"/>
    <w:rsid w:val="004E2603"/>
    <w:rsid w:val="004E43B2"/>
    <w:rsid w:val="004E4D6B"/>
    <w:rsid w:val="004E54AE"/>
    <w:rsid w:val="004E566A"/>
    <w:rsid w:val="004E6B8F"/>
    <w:rsid w:val="004E6C08"/>
    <w:rsid w:val="004E76C0"/>
    <w:rsid w:val="004E7C44"/>
    <w:rsid w:val="004F241B"/>
    <w:rsid w:val="004F24A8"/>
    <w:rsid w:val="004F3063"/>
    <w:rsid w:val="004F30CD"/>
    <w:rsid w:val="004F3212"/>
    <w:rsid w:val="004F41DE"/>
    <w:rsid w:val="004F4AC0"/>
    <w:rsid w:val="004F6326"/>
    <w:rsid w:val="004F6510"/>
    <w:rsid w:val="004F75AF"/>
    <w:rsid w:val="004F797A"/>
    <w:rsid w:val="005000EB"/>
    <w:rsid w:val="00500CB6"/>
    <w:rsid w:val="00500FD8"/>
    <w:rsid w:val="005010EF"/>
    <w:rsid w:val="0050130A"/>
    <w:rsid w:val="0050154A"/>
    <w:rsid w:val="005025AE"/>
    <w:rsid w:val="00502A0F"/>
    <w:rsid w:val="00502AC0"/>
    <w:rsid w:val="00502EE3"/>
    <w:rsid w:val="00502EF5"/>
    <w:rsid w:val="00503129"/>
    <w:rsid w:val="005041DB"/>
    <w:rsid w:val="00505728"/>
    <w:rsid w:val="0050635E"/>
    <w:rsid w:val="00506DED"/>
    <w:rsid w:val="005079D9"/>
    <w:rsid w:val="00507B2C"/>
    <w:rsid w:val="005105D7"/>
    <w:rsid w:val="005109FF"/>
    <w:rsid w:val="00511009"/>
    <w:rsid w:val="0051103F"/>
    <w:rsid w:val="00511540"/>
    <w:rsid w:val="00511AF3"/>
    <w:rsid w:val="00512EC0"/>
    <w:rsid w:val="005136E9"/>
    <w:rsid w:val="00514B9A"/>
    <w:rsid w:val="00514C3D"/>
    <w:rsid w:val="0051520A"/>
    <w:rsid w:val="00515772"/>
    <w:rsid w:val="00516253"/>
    <w:rsid w:val="005164DB"/>
    <w:rsid w:val="005168D1"/>
    <w:rsid w:val="00516AC0"/>
    <w:rsid w:val="00516F4D"/>
    <w:rsid w:val="0051707D"/>
    <w:rsid w:val="005209C0"/>
    <w:rsid w:val="00520E21"/>
    <w:rsid w:val="00520FE7"/>
    <w:rsid w:val="00522189"/>
    <w:rsid w:val="00522475"/>
    <w:rsid w:val="00523409"/>
    <w:rsid w:val="00523F6D"/>
    <w:rsid w:val="0052407C"/>
    <w:rsid w:val="00524324"/>
    <w:rsid w:val="00524636"/>
    <w:rsid w:val="00524F9C"/>
    <w:rsid w:val="00525304"/>
    <w:rsid w:val="00525E7A"/>
    <w:rsid w:val="0052608E"/>
    <w:rsid w:val="0052769E"/>
    <w:rsid w:val="005277E3"/>
    <w:rsid w:val="005301DB"/>
    <w:rsid w:val="00530EB3"/>
    <w:rsid w:val="005318A6"/>
    <w:rsid w:val="00532666"/>
    <w:rsid w:val="00532B61"/>
    <w:rsid w:val="005335D1"/>
    <w:rsid w:val="00534047"/>
    <w:rsid w:val="005342E6"/>
    <w:rsid w:val="00535389"/>
    <w:rsid w:val="00535661"/>
    <w:rsid w:val="00535837"/>
    <w:rsid w:val="0053613F"/>
    <w:rsid w:val="00536FEB"/>
    <w:rsid w:val="00537D5C"/>
    <w:rsid w:val="00537F81"/>
    <w:rsid w:val="005400F1"/>
    <w:rsid w:val="00540F4A"/>
    <w:rsid w:val="0054190B"/>
    <w:rsid w:val="00542FE8"/>
    <w:rsid w:val="00544D0B"/>
    <w:rsid w:val="00545756"/>
    <w:rsid w:val="00545E1C"/>
    <w:rsid w:val="00546681"/>
    <w:rsid w:val="00547745"/>
    <w:rsid w:val="00550B9C"/>
    <w:rsid w:val="00550E3D"/>
    <w:rsid w:val="005514AA"/>
    <w:rsid w:val="00551949"/>
    <w:rsid w:val="005520F9"/>
    <w:rsid w:val="00552C09"/>
    <w:rsid w:val="00553895"/>
    <w:rsid w:val="00553CC7"/>
    <w:rsid w:val="00553D26"/>
    <w:rsid w:val="0055421B"/>
    <w:rsid w:val="0055422D"/>
    <w:rsid w:val="00555B29"/>
    <w:rsid w:val="005567DE"/>
    <w:rsid w:val="005568A2"/>
    <w:rsid w:val="005572E8"/>
    <w:rsid w:val="00557D54"/>
    <w:rsid w:val="00557F17"/>
    <w:rsid w:val="0056056A"/>
    <w:rsid w:val="00560619"/>
    <w:rsid w:val="005617CB"/>
    <w:rsid w:val="00562EEE"/>
    <w:rsid w:val="005635AE"/>
    <w:rsid w:val="005648B5"/>
    <w:rsid w:val="00564936"/>
    <w:rsid w:val="00564C94"/>
    <w:rsid w:val="00565A32"/>
    <w:rsid w:val="00565FD5"/>
    <w:rsid w:val="0056611F"/>
    <w:rsid w:val="00566208"/>
    <w:rsid w:val="00566852"/>
    <w:rsid w:val="00567136"/>
    <w:rsid w:val="00567593"/>
    <w:rsid w:val="00567E39"/>
    <w:rsid w:val="00567F49"/>
    <w:rsid w:val="005701A6"/>
    <w:rsid w:val="00570326"/>
    <w:rsid w:val="005709AB"/>
    <w:rsid w:val="00570F75"/>
    <w:rsid w:val="0057126F"/>
    <w:rsid w:val="0057168D"/>
    <w:rsid w:val="00573179"/>
    <w:rsid w:val="00573E3E"/>
    <w:rsid w:val="00574483"/>
    <w:rsid w:val="0057524E"/>
    <w:rsid w:val="005755AE"/>
    <w:rsid w:val="005756E5"/>
    <w:rsid w:val="00575931"/>
    <w:rsid w:val="00576836"/>
    <w:rsid w:val="00577231"/>
    <w:rsid w:val="005820B6"/>
    <w:rsid w:val="00583D7E"/>
    <w:rsid w:val="00583F3B"/>
    <w:rsid w:val="00584410"/>
    <w:rsid w:val="0058560D"/>
    <w:rsid w:val="005862CF"/>
    <w:rsid w:val="00586AA0"/>
    <w:rsid w:val="00586EE0"/>
    <w:rsid w:val="00587B2A"/>
    <w:rsid w:val="00590029"/>
    <w:rsid w:val="005902AB"/>
    <w:rsid w:val="005904B6"/>
    <w:rsid w:val="00590891"/>
    <w:rsid w:val="00591583"/>
    <w:rsid w:val="0059179E"/>
    <w:rsid w:val="00591B5C"/>
    <w:rsid w:val="00591D2A"/>
    <w:rsid w:val="00592142"/>
    <w:rsid w:val="0059222E"/>
    <w:rsid w:val="005927AF"/>
    <w:rsid w:val="00593303"/>
    <w:rsid w:val="0059390E"/>
    <w:rsid w:val="00595A0E"/>
    <w:rsid w:val="00596877"/>
    <w:rsid w:val="00597886"/>
    <w:rsid w:val="005A0103"/>
    <w:rsid w:val="005A037C"/>
    <w:rsid w:val="005A2386"/>
    <w:rsid w:val="005A2723"/>
    <w:rsid w:val="005A3EC1"/>
    <w:rsid w:val="005A4E82"/>
    <w:rsid w:val="005A5516"/>
    <w:rsid w:val="005A5A02"/>
    <w:rsid w:val="005A6F50"/>
    <w:rsid w:val="005B1896"/>
    <w:rsid w:val="005B1CE5"/>
    <w:rsid w:val="005B6514"/>
    <w:rsid w:val="005B7584"/>
    <w:rsid w:val="005C1192"/>
    <w:rsid w:val="005C132D"/>
    <w:rsid w:val="005C361E"/>
    <w:rsid w:val="005C36C9"/>
    <w:rsid w:val="005C3989"/>
    <w:rsid w:val="005C3F14"/>
    <w:rsid w:val="005C476C"/>
    <w:rsid w:val="005C4785"/>
    <w:rsid w:val="005C5642"/>
    <w:rsid w:val="005C5EB5"/>
    <w:rsid w:val="005C63DE"/>
    <w:rsid w:val="005C67A1"/>
    <w:rsid w:val="005C6B73"/>
    <w:rsid w:val="005D08DC"/>
    <w:rsid w:val="005D09D1"/>
    <w:rsid w:val="005D15E5"/>
    <w:rsid w:val="005D1765"/>
    <w:rsid w:val="005D192C"/>
    <w:rsid w:val="005D1A37"/>
    <w:rsid w:val="005D1AC2"/>
    <w:rsid w:val="005D1AF4"/>
    <w:rsid w:val="005D1DAD"/>
    <w:rsid w:val="005D4643"/>
    <w:rsid w:val="005D465C"/>
    <w:rsid w:val="005D494C"/>
    <w:rsid w:val="005D4A70"/>
    <w:rsid w:val="005D521C"/>
    <w:rsid w:val="005D5A26"/>
    <w:rsid w:val="005D6476"/>
    <w:rsid w:val="005D66A9"/>
    <w:rsid w:val="005D7E92"/>
    <w:rsid w:val="005D7FED"/>
    <w:rsid w:val="005E00EA"/>
    <w:rsid w:val="005E19D2"/>
    <w:rsid w:val="005E1D2D"/>
    <w:rsid w:val="005E3274"/>
    <w:rsid w:val="005E3283"/>
    <w:rsid w:val="005E33C4"/>
    <w:rsid w:val="005E3A06"/>
    <w:rsid w:val="005E4B62"/>
    <w:rsid w:val="005E52DC"/>
    <w:rsid w:val="005E5FC5"/>
    <w:rsid w:val="005E660F"/>
    <w:rsid w:val="005F004E"/>
    <w:rsid w:val="005F089B"/>
    <w:rsid w:val="005F11B8"/>
    <w:rsid w:val="005F1461"/>
    <w:rsid w:val="005F1651"/>
    <w:rsid w:val="005F55B2"/>
    <w:rsid w:val="005F5FF0"/>
    <w:rsid w:val="005F6910"/>
    <w:rsid w:val="005F695E"/>
    <w:rsid w:val="005F6CAF"/>
    <w:rsid w:val="005F7163"/>
    <w:rsid w:val="005F7166"/>
    <w:rsid w:val="005F73B4"/>
    <w:rsid w:val="0060095A"/>
    <w:rsid w:val="006011CB"/>
    <w:rsid w:val="006021BD"/>
    <w:rsid w:val="00602217"/>
    <w:rsid w:val="0060229F"/>
    <w:rsid w:val="00602C7F"/>
    <w:rsid w:val="00602FF4"/>
    <w:rsid w:val="006038FE"/>
    <w:rsid w:val="00603DAE"/>
    <w:rsid w:val="00605050"/>
    <w:rsid w:val="00605501"/>
    <w:rsid w:val="00606131"/>
    <w:rsid w:val="00606A46"/>
    <w:rsid w:val="006075F2"/>
    <w:rsid w:val="00607F1D"/>
    <w:rsid w:val="00611BD1"/>
    <w:rsid w:val="00611E42"/>
    <w:rsid w:val="0061237D"/>
    <w:rsid w:val="006129A2"/>
    <w:rsid w:val="00612B86"/>
    <w:rsid w:val="00613756"/>
    <w:rsid w:val="006139A7"/>
    <w:rsid w:val="00615033"/>
    <w:rsid w:val="00615428"/>
    <w:rsid w:val="00615805"/>
    <w:rsid w:val="00615B33"/>
    <w:rsid w:val="006173E6"/>
    <w:rsid w:val="0062174F"/>
    <w:rsid w:val="00623FCA"/>
    <w:rsid w:val="00624FAF"/>
    <w:rsid w:val="006258CA"/>
    <w:rsid w:val="00625969"/>
    <w:rsid w:val="00625E62"/>
    <w:rsid w:val="0062755E"/>
    <w:rsid w:val="00630491"/>
    <w:rsid w:val="006304E9"/>
    <w:rsid w:val="00630DE6"/>
    <w:rsid w:val="00630F63"/>
    <w:rsid w:val="00631412"/>
    <w:rsid w:val="00631BD1"/>
    <w:rsid w:val="006322D9"/>
    <w:rsid w:val="00633320"/>
    <w:rsid w:val="00633630"/>
    <w:rsid w:val="00633DE3"/>
    <w:rsid w:val="0063422C"/>
    <w:rsid w:val="00634859"/>
    <w:rsid w:val="0063488C"/>
    <w:rsid w:val="0063594D"/>
    <w:rsid w:val="006371DB"/>
    <w:rsid w:val="00640050"/>
    <w:rsid w:val="0064119B"/>
    <w:rsid w:val="00641361"/>
    <w:rsid w:val="006413A0"/>
    <w:rsid w:val="006415EE"/>
    <w:rsid w:val="00641D46"/>
    <w:rsid w:val="006454E5"/>
    <w:rsid w:val="00645EB1"/>
    <w:rsid w:val="00646D67"/>
    <w:rsid w:val="00646D92"/>
    <w:rsid w:val="00647093"/>
    <w:rsid w:val="0064746E"/>
    <w:rsid w:val="006506E7"/>
    <w:rsid w:val="00650DDD"/>
    <w:rsid w:val="00650E51"/>
    <w:rsid w:val="00651B4F"/>
    <w:rsid w:val="0065215C"/>
    <w:rsid w:val="00652AFB"/>
    <w:rsid w:val="00652F5E"/>
    <w:rsid w:val="00653675"/>
    <w:rsid w:val="00653869"/>
    <w:rsid w:val="006539D3"/>
    <w:rsid w:val="00654030"/>
    <w:rsid w:val="00654634"/>
    <w:rsid w:val="006560B2"/>
    <w:rsid w:val="006563D3"/>
    <w:rsid w:val="00656A33"/>
    <w:rsid w:val="00656ECC"/>
    <w:rsid w:val="00656F3F"/>
    <w:rsid w:val="00657DF1"/>
    <w:rsid w:val="0066015C"/>
    <w:rsid w:val="0066087E"/>
    <w:rsid w:val="006617B7"/>
    <w:rsid w:val="0066204B"/>
    <w:rsid w:val="0066233B"/>
    <w:rsid w:val="00662805"/>
    <w:rsid w:val="00662C32"/>
    <w:rsid w:val="00662D4D"/>
    <w:rsid w:val="00662E20"/>
    <w:rsid w:val="00663116"/>
    <w:rsid w:val="0066376C"/>
    <w:rsid w:val="006641A4"/>
    <w:rsid w:val="00664F4B"/>
    <w:rsid w:val="00665103"/>
    <w:rsid w:val="0066719F"/>
    <w:rsid w:val="006671B5"/>
    <w:rsid w:val="00670E2A"/>
    <w:rsid w:val="006728F9"/>
    <w:rsid w:val="00672BEC"/>
    <w:rsid w:val="00673F8E"/>
    <w:rsid w:val="0067435C"/>
    <w:rsid w:val="00674F9D"/>
    <w:rsid w:val="0067531C"/>
    <w:rsid w:val="00675644"/>
    <w:rsid w:val="0067590A"/>
    <w:rsid w:val="006767CD"/>
    <w:rsid w:val="006772EC"/>
    <w:rsid w:val="00677859"/>
    <w:rsid w:val="006778A0"/>
    <w:rsid w:val="00680289"/>
    <w:rsid w:val="00680D17"/>
    <w:rsid w:val="00680DD9"/>
    <w:rsid w:val="00681326"/>
    <w:rsid w:val="00681A51"/>
    <w:rsid w:val="00683078"/>
    <w:rsid w:val="00683205"/>
    <w:rsid w:val="006834E0"/>
    <w:rsid w:val="00683F80"/>
    <w:rsid w:val="006842C1"/>
    <w:rsid w:val="00684822"/>
    <w:rsid w:val="00684AEC"/>
    <w:rsid w:val="00685526"/>
    <w:rsid w:val="006866D9"/>
    <w:rsid w:val="00686A69"/>
    <w:rsid w:val="00687B44"/>
    <w:rsid w:val="00690022"/>
    <w:rsid w:val="006915C2"/>
    <w:rsid w:val="0069163A"/>
    <w:rsid w:val="0069230B"/>
    <w:rsid w:val="00695662"/>
    <w:rsid w:val="00696389"/>
    <w:rsid w:val="00696B47"/>
    <w:rsid w:val="0069717D"/>
    <w:rsid w:val="00697622"/>
    <w:rsid w:val="00697FD0"/>
    <w:rsid w:val="006A137A"/>
    <w:rsid w:val="006A1B0D"/>
    <w:rsid w:val="006A2AA1"/>
    <w:rsid w:val="006A3045"/>
    <w:rsid w:val="006A30E3"/>
    <w:rsid w:val="006A59D7"/>
    <w:rsid w:val="006A5A9D"/>
    <w:rsid w:val="006A5D64"/>
    <w:rsid w:val="006A63E6"/>
    <w:rsid w:val="006A65C4"/>
    <w:rsid w:val="006A68BD"/>
    <w:rsid w:val="006A6B68"/>
    <w:rsid w:val="006A6BCC"/>
    <w:rsid w:val="006A70F8"/>
    <w:rsid w:val="006A7D50"/>
    <w:rsid w:val="006B1060"/>
    <w:rsid w:val="006B270F"/>
    <w:rsid w:val="006B35E3"/>
    <w:rsid w:val="006B38FC"/>
    <w:rsid w:val="006B4F60"/>
    <w:rsid w:val="006B4FC4"/>
    <w:rsid w:val="006B5162"/>
    <w:rsid w:val="006B623F"/>
    <w:rsid w:val="006B65DD"/>
    <w:rsid w:val="006B67B6"/>
    <w:rsid w:val="006B778A"/>
    <w:rsid w:val="006B7B15"/>
    <w:rsid w:val="006C1866"/>
    <w:rsid w:val="006C3F09"/>
    <w:rsid w:val="006C4A89"/>
    <w:rsid w:val="006C50CE"/>
    <w:rsid w:val="006C5EF5"/>
    <w:rsid w:val="006C643D"/>
    <w:rsid w:val="006C69FC"/>
    <w:rsid w:val="006C6CE9"/>
    <w:rsid w:val="006C6DA3"/>
    <w:rsid w:val="006C6EAA"/>
    <w:rsid w:val="006C73B5"/>
    <w:rsid w:val="006D0394"/>
    <w:rsid w:val="006D052C"/>
    <w:rsid w:val="006D0BC4"/>
    <w:rsid w:val="006D0F12"/>
    <w:rsid w:val="006D1E16"/>
    <w:rsid w:val="006D3065"/>
    <w:rsid w:val="006D3ED3"/>
    <w:rsid w:val="006D42C3"/>
    <w:rsid w:val="006D4BB9"/>
    <w:rsid w:val="006D4F6B"/>
    <w:rsid w:val="006D5358"/>
    <w:rsid w:val="006D536C"/>
    <w:rsid w:val="006D5D90"/>
    <w:rsid w:val="006D712F"/>
    <w:rsid w:val="006E111F"/>
    <w:rsid w:val="006E1215"/>
    <w:rsid w:val="006E1761"/>
    <w:rsid w:val="006E1B2A"/>
    <w:rsid w:val="006E2BC7"/>
    <w:rsid w:val="006E3174"/>
    <w:rsid w:val="006E323D"/>
    <w:rsid w:val="006E36C4"/>
    <w:rsid w:val="006E4DAE"/>
    <w:rsid w:val="006E534D"/>
    <w:rsid w:val="006E5CF9"/>
    <w:rsid w:val="006E672D"/>
    <w:rsid w:val="006E7188"/>
    <w:rsid w:val="006E71A8"/>
    <w:rsid w:val="006E72E7"/>
    <w:rsid w:val="006F19FD"/>
    <w:rsid w:val="006F1A69"/>
    <w:rsid w:val="006F2F00"/>
    <w:rsid w:val="006F2FA1"/>
    <w:rsid w:val="006F2FEB"/>
    <w:rsid w:val="006F4599"/>
    <w:rsid w:val="006F4EBE"/>
    <w:rsid w:val="006F611E"/>
    <w:rsid w:val="006F6159"/>
    <w:rsid w:val="006F7310"/>
    <w:rsid w:val="006F74AF"/>
    <w:rsid w:val="006F7625"/>
    <w:rsid w:val="006F7B67"/>
    <w:rsid w:val="006F7EB1"/>
    <w:rsid w:val="006F7FED"/>
    <w:rsid w:val="007005D3"/>
    <w:rsid w:val="00701506"/>
    <w:rsid w:val="007017EC"/>
    <w:rsid w:val="00701A31"/>
    <w:rsid w:val="00702D4E"/>
    <w:rsid w:val="0070343A"/>
    <w:rsid w:val="00703E60"/>
    <w:rsid w:val="0070483D"/>
    <w:rsid w:val="00704FA8"/>
    <w:rsid w:val="0070535B"/>
    <w:rsid w:val="00707DF7"/>
    <w:rsid w:val="00712FCB"/>
    <w:rsid w:val="00713C83"/>
    <w:rsid w:val="007145E9"/>
    <w:rsid w:val="00715281"/>
    <w:rsid w:val="00715E91"/>
    <w:rsid w:val="00715EF8"/>
    <w:rsid w:val="007167CA"/>
    <w:rsid w:val="007171B4"/>
    <w:rsid w:val="007172A6"/>
    <w:rsid w:val="00720121"/>
    <w:rsid w:val="0072197A"/>
    <w:rsid w:val="00721C36"/>
    <w:rsid w:val="00722741"/>
    <w:rsid w:val="00723084"/>
    <w:rsid w:val="00723546"/>
    <w:rsid w:val="007240D4"/>
    <w:rsid w:val="00724A4F"/>
    <w:rsid w:val="00725173"/>
    <w:rsid w:val="00725246"/>
    <w:rsid w:val="00726E6C"/>
    <w:rsid w:val="0072755A"/>
    <w:rsid w:val="007279AC"/>
    <w:rsid w:val="00730A14"/>
    <w:rsid w:val="00730F68"/>
    <w:rsid w:val="0073177D"/>
    <w:rsid w:val="00732A89"/>
    <w:rsid w:val="007334A4"/>
    <w:rsid w:val="00733C6D"/>
    <w:rsid w:val="00733FCF"/>
    <w:rsid w:val="00734D48"/>
    <w:rsid w:val="007351C1"/>
    <w:rsid w:val="0073548E"/>
    <w:rsid w:val="00735D84"/>
    <w:rsid w:val="00736171"/>
    <w:rsid w:val="00737DEB"/>
    <w:rsid w:val="00740907"/>
    <w:rsid w:val="00741AAE"/>
    <w:rsid w:val="00742626"/>
    <w:rsid w:val="00742C3E"/>
    <w:rsid w:val="007445F1"/>
    <w:rsid w:val="007452B4"/>
    <w:rsid w:val="007460D3"/>
    <w:rsid w:val="00746459"/>
    <w:rsid w:val="00746E66"/>
    <w:rsid w:val="00746F74"/>
    <w:rsid w:val="007474B0"/>
    <w:rsid w:val="00747CB2"/>
    <w:rsid w:val="00750727"/>
    <w:rsid w:val="007507F2"/>
    <w:rsid w:val="007508D4"/>
    <w:rsid w:val="00751AD6"/>
    <w:rsid w:val="007522D6"/>
    <w:rsid w:val="00752414"/>
    <w:rsid w:val="00752EFB"/>
    <w:rsid w:val="00753C23"/>
    <w:rsid w:val="0075423F"/>
    <w:rsid w:val="00754671"/>
    <w:rsid w:val="007550A0"/>
    <w:rsid w:val="007560DD"/>
    <w:rsid w:val="007562C0"/>
    <w:rsid w:val="007575CF"/>
    <w:rsid w:val="00757F4E"/>
    <w:rsid w:val="00760A87"/>
    <w:rsid w:val="00760B4A"/>
    <w:rsid w:val="00760C93"/>
    <w:rsid w:val="0076106A"/>
    <w:rsid w:val="007617A0"/>
    <w:rsid w:val="00761DE3"/>
    <w:rsid w:val="00761E6E"/>
    <w:rsid w:val="00762295"/>
    <w:rsid w:val="0076533D"/>
    <w:rsid w:val="00765A81"/>
    <w:rsid w:val="0076619D"/>
    <w:rsid w:val="0076775A"/>
    <w:rsid w:val="00767796"/>
    <w:rsid w:val="00767C2E"/>
    <w:rsid w:val="00767EA6"/>
    <w:rsid w:val="00770980"/>
    <w:rsid w:val="00770B21"/>
    <w:rsid w:val="0077108F"/>
    <w:rsid w:val="007721E0"/>
    <w:rsid w:val="00773888"/>
    <w:rsid w:val="00774C01"/>
    <w:rsid w:val="00776295"/>
    <w:rsid w:val="0077638E"/>
    <w:rsid w:val="007768B7"/>
    <w:rsid w:val="00776DEB"/>
    <w:rsid w:val="0077724F"/>
    <w:rsid w:val="00777365"/>
    <w:rsid w:val="00777BA0"/>
    <w:rsid w:val="00780283"/>
    <w:rsid w:val="007802AF"/>
    <w:rsid w:val="00780966"/>
    <w:rsid w:val="00781831"/>
    <w:rsid w:val="00783141"/>
    <w:rsid w:val="00783D6F"/>
    <w:rsid w:val="00783E6D"/>
    <w:rsid w:val="00785634"/>
    <w:rsid w:val="00786689"/>
    <w:rsid w:val="007866DE"/>
    <w:rsid w:val="0078722A"/>
    <w:rsid w:val="0078743F"/>
    <w:rsid w:val="00790754"/>
    <w:rsid w:val="007907CB"/>
    <w:rsid w:val="00790DFB"/>
    <w:rsid w:val="0079166A"/>
    <w:rsid w:val="00791844"/>
    <w:rsid w:val="0079186D"/>
    <w:rsid w:val="00791B04"/>
    <w:rsid w:val="0079237E"/>
    <w:rsid w:val="00792AE3"/>
    <w:rsid w:val="00792F52"/>
    <w:rsid w:val="00793756"/>
    <w:rsid w:val="007940EC"/>
    <w:rsid w:val="00795720"/>
    <w:rsid w:val="0079770A"/>
    <w:rsid w:val="00797814"/>
    <w:rsid w:val="00797823"/>
    <w:rsid w:val="007979D5"/>
    <w:rsid w:val="00797AC5"/>
    <w:rsid w:val="007A072A"/>
    <w:rsid w:val="007A0871"/>
    <w:rsid w:val="007A10C1"/>
    <w:rsid w:val="007A270D"/>
    <w:rsid w:val="007A2804"/>
    <w:rsid w:val="007A335B"/>
    <w:rsid w:val="007A3D0A"/>
    <w:rsid w:val="007A457D"/>
    <w:rsid w:val="007A52AF"/>
    <w:rsid w:val="007A55BF"/>
    <w:rsid w:val="007A5668"/>
    <w:rsid w:val="007A65E7"/>
    <w:rsid w:val="007A6676"/>
    <w:rsid w:val="007A6F50"/>
    <w:rsid w:val="007A780C"/>
    <w:rsid w:val="007A78DB"/>
    <w:rsid w:val="007B12AB"/>
    <w:rsid w:val="007B3057"/>
    <w:rsid w:val="007B30E5"/>
    <w:rsid w:val="007B3C5D"/>
    <w:rsid w:val="007B4D2E"/>
    <w:rsid w:val="007B517D"/>
    <w:rsid w:val="007B522F"/>
    <w:rsid w:val="007B5B48"/>
    <w:rsid w:val="007B6D3F"/>
    <w:rsid w:val="007B6E5F"/>
    <w:rsid w:val="007B7EC8"/>
    <w:rsid w:val="007C0525"/>
    <w:rsid w:val="007C066B"/>
    <w:rsid w:val="007C0B1C"/>
    <w:rsid w:val="007C1883"/>
    <w:rsid w:val="007C21FB"/>
    <w:rsid w:val="007C23F6"/>
    <w:rsid w:val="007C244E"/>
    <w:rsid w:val="007C2806"/>
    <w:rsid w:val="007C3D59"/>
    <w:rsid w:val="007C3F2A"/>
    <w:rsid w:val="007C40E9"/>
    <w:rsid w:val="007C432E"/>
    <w:rsid w:val="007C5E6C"/>
    <w:rsid w:val="007C6221"/>
    <w:rsid w:val="007C73CE"/>
    <w:rsid w:val="007D00B7"/>
    <w:rsid w:val="007D0B56"/>
    <w:rsid w:val="007D0F82"/>
    <w:rsid w:val="007D139A"/>
    <w:rsid w:val="007D45DA"/>
    <w:rsid w:val="007D47C7"/>
    <w:rsid w:val="007D532B"/>
    <w:rsid w:val="007D5751"/>
    <w:rsid w:val="007D57AB"/>
    <w:rsid w:val="007D6C6D"/>
    <w:rsid w:val="007D721D"/>
    <w:rsid w:val="007E22C9"/>
    <w:rsid w:val="007E39FD"/>
    <w:rsid w:val="007E44A7"/>
    <w:rsid w:val="007E4AA5"/>
    <w:rsid w:val="007E4D20"/>
    <w:rsid w:val="007E5FE4"/>
    <w:rsid w:val="007E61BB"/>
    <w:rsid w:val="007E6851"/>
    <w:rsid w:val="007E7A02"/>
    <w:rsid w:val="007F075B"/>
    <w:rsid w:val="007F0CAC"/>
    <w:rsid w:val="007F0EC7"/>
    <w:rsid w:val="007F13BE"/>
    <w:rsid w:val="007F172D"/>
    <w:rsid w:val="007F458A"/>
    <w:rsid w:val="007F4819"/>
    <w:rsid w:val="007F4AD1"/>
    <w:rsid w:val="007F4BD4"/>
    <w:rsid w:val="007F69A8"/>
    <w:rsid w:val="007F6BF9"/>
    <w:rsid w:val="007F79C1"/>
    <w:rsid w:val="007F79E9"/>
    <w:rsid w:val="0080023C"/>
    <w:rsid w:val="00800A9D"/>
    <w:rsid w:val="00800CCF"/>
    <w:rsid w:val="00801653"/>
    <w:rsid w:val="00802C4C"/>
    <w:rsid w:val="00802CEA"/>
    <w:rsid w:val="00803C21"/>
    <w:rsid w:val="00803D51"/>
    <w:rsid w:val="0080426A"/>
    <w:rsid w:val="00804628"/>
    <w:rsid w:val="00804E3C"/>
    <w:rsid w:val="0080501E"/>
    <w:rsid w:val="008050C4"/>
    <w:rsid w:val="0080548B"/>
    <w:rsid w:val="008068A9"/>
    <w:rsid w:val="00806EC1"/>
    <w:rsid w:val="00807266"/>
    <w:rsid w:val="00807784"/>
    <w:rsid w:val="00807C76"/>
    <w:rsid w:val="008102A4"/>
    <w:rsid w:val="008108B1"/>
    <w:rsid w:val="00811491"/>
    <w:rsid w:val="00811B4A"/>
    <w:rsid w:val="008128AB"/>
    <w:rsid w:val="00812C9B"/>
    <w:rsid w:val="0081308A"/>
    <w:rsid w:val="008140F7"/>
    <w:rsid w:val="00814F02"/>
    <w:rsid w:val="008151AE"/>
    <w:rsid w:val="008154AE"/>
    <w:rsid w:val="00815BB0"/>
    <w:rsid w:val="00816B3C"/>
    <w:rsid w:val="00816D76"/>
    <w:rsid w:val="00816F9D"/>
    <w:rsid w:val="0081732E"/>
    <w:rsid w:val="00817B4B"/>
    <w:rsid w:val="008208F5"/>
    <w:rsid w:val="008209A8"/>
    <w:rsid w:val="008209DD"/>
    <w:rsid w:val="00820ADD"/>
    <w:rsid w:val="00821236"/>
    <w:rsid w:val="00821AE2"/>
    <w:rsid w:val="00822567"/>
    <w:rsid w:val="0082273C"/>
    <w:rsid w:val="00822E2D"/>
    <w:rsid w:val="008239F8"/>
    <w:rsid w:val="00823FF3"/>
    <w:rsid w:val="00827146"/>
    <w:rsid w:val="008310A3"/>
    <w:rsid w:val="008312E7"/>
    <w:rsid w:val="00831B5B"/>
    <w:rsid w:val="00831D76"/>
    <w:rsid w:val="00832D23"/>
    <w:rsid w:val="00832F91"/>
    <w:rsid w:val="008330EA"/>
    <w:rsid w:val="008335E0"/>
    <w:rsid w:val="00833D69"/>
    <w:rsid w:val="0083452D"/>
    <w:rsid w:val="00834BB3"/>
    <w:rsid w:val="00835031"/>
    <w:rsid w:val="00835595"/>
    <w:rsid w:val="00835781"/>
    <w:rsid w:val="0083798D"/>
    <w:rsid w:val="00837FBB"/>
    <w:rsid w:val="00840120"/>
    <w:rsid w:val="008404F8"/>
    <w:rsid w:val="008424D9"/>
    <w:rsid w:val="008426A2"/>
    <w:rsid w:val="008435C5"/>
    <w:rsid w:val="0084387E"/>
    <w:rsid w:val="00844847"/>
    <w:rsid w:val="00844CB1"/>
    <w:rsid w:val="0084546E"/>
    <w:rsid w:val="00845748"/>
    <w:rsid w:val="008467AD"/>
    <w:rsid w:val="008468B8"/>
    <w:rsid w:val="00847812"/>
    <w:rsid w:val="00847ABC"/>
    <w:rsid w:val="008510B1"/>
    <w:rsid w:val="00851190"/>
    <w:rsid w:val="008518FB"/>
    <w:rsid w:val="00851B66"/>
    <w:rsid w:val="00851FE4"/>
    <w:rsid w:val="00851FFA"/>
    <w:rsid w:val="008544EA"/>
    <w:rsid w:val="0085577B"/>
    <w:rsid w:val="0085601E"/>
    <w:rsid w:val="008561B5"/>
    <w:rsid w:val="00856AC8"/>
    <w:rsid w:val="0086097B"/>
    <w:rsid w:val="00860C5C"/>
    <w:rsid w:val="008625A3"/>
    <w:rsid w:val="0086296A"/>
    <w:rsid w:val="00863854"/>
    <w:rsid w:val="00863A70"/>
    <w:rsid w:val="00863B4B"/>
    <w:rsid w:val="00863CE3"/>
    <w:rsid w:val="0086478D"/>
    <w:rsid w:val="00864B94"/>
    <w:rsid w:val="00864EC3"/>
    <w:rsid w:val="00864EE7"/>
    <w:rsid w:val="008650EB"/>
    <w:rsid w:val="008652D3"/>
    <w:rsid w:val="00865C3F"/>
    <w:rsid w:val="00865CAC"/>
    <w:rsid w:val="008660D1"/>
    <w:rsid w:val="008662FD"/>
    <w:rsid w:val="00866924"/>
    <w:rsid w:val="00866BF4"/>
    <w:rsid w:val="00867A70"/>
    <w:rsid w:val="00867F60"/>
    <w:rsid w:val="0087030C"/>
    <w:rsid w:val="00870FF1"/>
    <w:rsid w:val="00871FC7"/>
    <w:rsid w:val="008720D6"/>
    <w:rsid w:val="00873012"/>
    <w:rsid w:val="00873AFC"/>
    <w:rsid w:val="0087767F"/>
    <w:rsid w:val="0088002B"/>
    <w:rsid w:val="00880A8B"/>
    <w:rsid w:val="00880ABC"/>
    <w:rsid w:val="0088217F"/>
    <w:rsid w:val="0088298F"/>
    <w:rsid w:val="0088380B"/>
    <w:rsid w:val="00883B6A"/>
    <w:rsid w:val="00884581"/>
    <w:rsid w:val="008845D9"/>
    <w:rsid w:val="008849AE"/>
    <w:rsid w:val="008854AF"/>
    <w:rsid w:val="0088656C"/>
    <w:rsid w:val="00886A19"/>
    <w:rsid w:val="00886B5E"/>
    <w:rsid w:val="00886E11"/>
    <w:rsid w:val="008871FC"/>
    <w:rsid w:val="008872F2"/>
    <w:rsid w:val="00891149"/>
    <w:rsid w:val="00892474"/>
    <w:rsid w:val="0089248C"/>
    <w:rsid w:val="008935CF"/>
    <w:rsid w:val="00893B0E"/>
    <w:rsid w:val="0089428C"/>
    <w:rsid w:val="0089462A"/>
    <w:rsid w:val="00894CB6"/>
    <w:rsid w:val="00895B4E"/>
    <w:rsid w:val="00896038"/>
    <w:rsid w:val="008961CC"/>
    <w:rsid w:val="0089648C"/>
    <w:rsid w:val="008A0A1A"/>
    <w:rsid w:val="008A0A71"/>
    <w:rsid w:val="008A0B0F"/>
    <w:rsid w:val="008A0BFC"/>
    <w:rsid w:val="008A1FBD"/>
    <w:rsid w:val="008A4BEC"/>
    <w:rsid w:val="008A4CC2"/>
    <w:rsid w:val="008A5995"/>
    <w:rsid w:val="008A649D"/>
    <w:rsid w:val="008A6A3C"/>
    <w:rsid w:val="008A6F4C"/>
    <w:rsid w:val="008A70FB"/>
    <w:rsid w:val="008B0564"/>
    <w:rsid w:val="008B0FB1"/>
    <w:rsid w:val="008B100C"/>
    <w:rsid w:val="008B12F6"/>
    <w:rsid w:val="008B1970"/>
    <w:rsid w:val="008B2430"/>
    <w:rsid w:val="008B2445"/>
    <w:rsid w:val="008B29C1"/>
    <w:rsid w:val="008B2A29"/>
    <w:rsid w:val="008B2E6A"/>
    <w:rsid w:val="008B31AA"/>
    <w:rsid w:val="008B3AF7"/>
    <w:rsid w:val="008B3E06"/>
    <w:rsid w:val="008B3F03"/>
    <w:rsid w:val="008B45EE"/>
    <w:rsid w:val="008B47BF"/>
    <w:rsid w:val="008B4C6E"/>
    <w:rsid w:val="008B5780"/>
    <w:rsid w:val="008B5984"/>
    <w:rsid w:val="008B6021"/>
    <w:rsid w:val="008B6871"/>
    <w:rsid w:val="008B728D"/>
    <w:rsid w:val="008B7DAB"/>
    <w:rsid w:val="008C0000"/>
    <w:rsid w:val="008C0391"/>
    <w:rsid w:val="008C0718"/>
    <w:rsid w:val="008C0910"/>
    <w:rsid w:val="008C0B5A"/>
    <w:rsid w:val="008C4498"/>
    <w:rsid w:val="008C6816"/>
    <w:rsid w:val="008C7AB2"/>
    <w:rsid w:val="008D06C6"/>
    <w:rsid w:val="008D1A1C"/>
    <w:rsid w:val="008D29BB"/>
    <w:rsid w:val="008D3A4C"/>
    <w:rsid w:val="008D3E27"/>
    <w:rsid w:val="008D57BE"/>
    <w:rsid w:val="008D59BD"/>
    <w:rsid w:val="008D5F54"/>
    <w:rsid w:val="008D6BD6"/>
    <w:rsid w:val="008E08FD"/>
    <w:rsid w:val="008E0C1A"/>
    <w:rsid w:val="008E1C99"/>
    <w:rsid w:val="008E2D20"/>
    <w:rsid w:val="008E2F0E"/>
    <w:rsid w:val="008E2F61"/>
    <w:rsid w:val="008E3A00"/>
    <w:rsid w:val="008E41D3"/>
    <w:rsid w:val="008E4320"/>
    <w:rsid w:val="008E48A2"/>
    <w:rsid w:val="008E4AB1"/>
    <w:rsid w:val="008E4AD4"/>
    <w:rsid w:val="008E4B72"/>
    <w:rsid w:val="008E4B84"/>
    <w:rsid w:val="008E4C7E"/>
    <w:rsid w:val="008E5491"/>
    <w:rsid w:val="008E5CE3"/>
    <w:rsid w:val="008E5FC2"/>
    <w:rsid w:val="008E75E8"/>
    <w:rsid w:val="008E79EC"/>
    <w:rsid w:val="008E7F99"/>
    <w:rsid w:val="008F0239"/>
    <w:rsid w:val="008F12F3"/>
    <w:rsid w:val="008F1684"/>
    <w:rsid w:val="008F198F"/>
    <w:rsid w:val="008F20C8"/>
    <w:rsid w:val="008F26EB"/>
    <w:rsid w:val="008F2D80"/>
    <w:rsid w:val="008F37F9"/>
    <w:rsid w:val="008F3A9C"/>
    <w:rsid w:val="008F3E6E"/>
    <w:rsid w:val="008F4CDE"/>
    <w:rsid w:val="008F4E50"/>
    <w:rsid w:val="008F530F"/>
    <w:rsid w:val="008F56F7"/>
    <w:rsid w:val="008F62DC"/>
    <w:rsid w:val="008F6B64"/>
    <w:rsid w:val="008F74B1"/>
    <w:rsid w:val="009002E5"/>
    <w:rsid w:val="00900BA3"/>
    <w:rsid w:val="0090112D"/>
    <w:rsid w:val="00901411"/>
    <w:rsid w:val="0090182D"/>
    <w:rsid w:val="00901A76"/>
    <w:rsid w:val="00905A06"/>
    <w:rsid w:val="00905AC1"/>
    <w:rsid w:val="00906962"/>
    <w:rsid w:val="009071C0"/>
    <w:rsid w:val="009105DE"/>
    <w:rsid w:val="00910CBC"/>
    <w:rsid w:val="00910FFC"/>
    <w:rsid w:val="009113B8"/>
    <w:rsid w:val="00912570"/>
    <w:rsid w:val="00912A99"/>
    <w:rsid w:val="00913126"/>
    <w:rsid w:val="00914A22"/>
    <w:rsid w:val="00914BFC"/>
    <w:rsid w:val="00915096"/>
    <w:rsid w:val="009153BA"/>
    <w:rsid w:val="00916D3F"/>
    <w:rsid w:val="0091748F"/>
    <w:rsid w:val="00921637"/>
    <w:rsid w:val="00921B4D"/>
    <w:rsid w:val="00922643"/>
    <w:rsid w:val="00922F02"/>
    <w:rsid w:val="009237C4"/>
    <w:rsid w:val="00923C61"/>
    <w:rsid w:val="00923F55"/>
    <w:rsid w:val="00925132"/>
    <w:rsid w:val="0092615C"/>
    <w:rsid w:val="0092718C"/>
    <w:rsid w:val="00927386"/>
    <w:rsid w:val="009303A6"/>
    <w:rsid w:val="009326FC"/>
    <w:rsid w:val="00932CFA"/>
    <w:rsid w:val="00933508"/>
    <w:rsid w:val="00933EFE"/>
    <w:rsid w:val="00933FEE"/>
    <w:rsid w:val="00934938"/>
    <w:rsid w:val="00935BCA"/>
    <w:rsid w:val="00935FD6"/>
    <w:rsid w:val="00936680"/>
    <w:rsid w:val="00936DAA"/>
    <w:rsid w:val="0094076A"/>
    <w:rsid w:val="009421DC"/>
    <w:rsid w:val="0094269A"/>
    <w:rsid w:val="009433F5"/>
    <w:rsid w:val="00943928"/>
    <w:rsid w:val="00944315"/>
    <w:rsid w:val="00947604"/>
    <w:rsid w:val="00947626"/>
    <w:rsid w:val="00947CA4"/>
    <w:rsid w:val="00950A0B"/>
    <w:rsid w:val="00950A8A"/>
    <w:rsid w:val="00951121"/>
    <w:rsid w:val="00952C34"/>
    <w:rsid w:val="0095411B"/>
    <w:rsid w:val="00955302"/>
    <w:rsid w:val="0095568D"/>
    <w:rsid w:val="009559C0"/>
    <w:rsid w:val="00955E8F"/>
    <w:rsid w:val="0095611A"/>
    <w:rsid w:val="0095694A"/>
    <w:rsid w:val="00956A73"/>
    <w:rsid w:val="00956C81"/>
    <w:rsid w:val="00956EAC"/>
    <w:rsid w:val="00957088"/>
    <w:rsid w:val="009575DA"/>
    <w:rsid w:val="00957B22"/>
    <w:rsid w:val="00957F96"/>
    <w:rsid w:val="009602C5"/>
    <w:rsid w:val="009612D1"/>
    <w:rsid w:val="009614EE"/>
    <w:rsid w:val="00962179"/>
    <w:rsid w:val="0096234E"/>
    <w:rsid w:val="00962683"/>
    <w:rsid w:val="00963669"/>
    <w:rsid w:val="00963718"/>
    <w:rsid w:val="00963D38"/>
    <w:rsid w:val="00963FB0"/>
    <w:rsid w:val="00965813"/>
    <w:rsid w:val="00965882"/>
    <w:rsid w:val="00966746"/>
    <w:rsid w:val="00967189"/>
    <w:rsid w:val="00967415"/>
    <w:rsid w:val="00967D11"/>
    <w:rsid w:val="009700CC"/>
    <w:rsid w:val="009701B1"/>
    <w:rsid w:val="00970792"/>
    <w:rsid w:val="0097138E"/>
    <w:rsid w:val="00972721"/>
    <w:rsid w:val="00972AD4"/>
    <w:rsid w:val="00974985"/>
    <w:rsid w:val="00975252"/>
    <w:rsid w:val="00975293"/>
    <w:rsid w:val="009752A7"/>
    <w:rsid w:val="00976476"/>
    <w:rsid w:val="00976EE3"/>
    <w:rsid w:val="0097795E"/>
    <w:rsid w:val="009811FD"/>
    <w:rsid w:val="009813CF"/>
    <w:rsid w:val="00982142"/>
    <w:rsid w:val="0098233E"/>
    <w:rsid w:val="0098333B"/>
    <w:rsid w:val="0098510B"/>
    <w:rsid w:val="009856AF"/>
    <w:rsid w:val="00985B10"/>
    <w:rsid w:val="00985C99"/>
    <w:rsid w:val="00986861"/>
    <w:rsid w:val="00986E15"/>
    <w:rsid w:val="009876E8"/>
    <w:rsid w:val="009877B6"/>
    <w:rsid w:val="00987A12"/>
    <w:rsid w:val="0099080A"/>
    <w:rsid w:val="00990E74"/>
    <w:rsid w:val="00991E09"/>
    <w:rsid w:val="009920AE"/>
    <w:rsid w:val="009925C0"/>
    <w:rsid w:val="00993A3F"/>
    <w:rsid w:val="00995C37"/>
    <w:rsid w:val="00995EF8"/>
    <w:rsid w:val="00995F9C"/>
    <w:rsid w:val="009964F1"/>
    <w:rsid w:val="00996A7C"/>
    <w:rsid w:val="009979C9"/>
    <w:rsid w:val="00997ACC"/>
    <w:rsid w:val="00997C94"/>
    <w:rsid w:val="009A0837"/>
    <w:rsid w:val="009A0DD5"/>
    <w:rsid w:val="009A1D3E"/>
    <w:rsid w:val="009A2258"/>
    <w:rsid w:val="009A26E2"/>
    <w:rsid w:val="009A28DA"/>
    <w:rsid w:val="009A3198"/>
    <w:rsid w:val="009A3DE3"/>
    <w:rsid w:val="009A406B"/>
    <w:rsid w:val="009A45EB"/>
    <w:rsid w:val="009A4A5F"/>
    <w:rsid w:val="009A4E49"/>
    <w:rsid w:val="009A5E80"/>
    <w:rsid w:val="009A630F"/>
    <w:rsid w:val="009A63E9"/>
    <w:rsid w:val="009A6694"/>
    <w:rsid w:val="009A7E04"/>
    <w:rsid w:val="009B08C9"/>
    <w:rsid w:val="009B11DB"/>
    <w:rsid w:val="009B141D"/>
    <w:rsid w:val="009B1D93"/>
    <w:rsid w:val="009B1EB0"/>
    <w:rsid w:val="009B21A5"/>
    <w:rsid w:val="009B236B"/>
    <w:rsid w:val="009B237B"/>
    <w:rsid w:val="009B34D9"/>
    <w:rsid w:val="009B4F2A"/>
    <w:rsid w:val="009B56AB"/>
    <w:rsid w:val="009B5787"/>
    <w:rsid w:val="009B5BDC"/>
    <w:rsid w:val="009C002C"/>
    <w:rsid w:val="009C07F6"/>
    <w:rsid w:val="009C1D5A"/>
    <w:rsid w:val="009C1E0E"/>
    <w:rsid w:val="009C2889"/>
    <w:rsid w:val="009C293A"/>
    <w:rsid w:val="009C29D2"/>
    <w:rsid w:val="009C3DEE"/>
    <w:rsid w:val="009C50C2"/>
    <w:rsid w:val="009C5A7E"/>
    <w:rsid w:val="009C5AD0"/>
    <w:rsid w:val="009C7AD0"/>
    <w:rsid w:val="009D114F"/>
    <w:rsid w:val="009D2109"/>
    <w:rsid w:val="009D21C5"/>
    <w:rsid w:val="009D227D"/>
    <w:rsid w:val="009D32AE"/>
    <w:rsid w:val="009D3331"/>
    <w:rsid w:val="009D4593"/>
    <w:rsid w:val="009D550D"/>
    <w:rsid w:val="009D569A"/>
    <w:rsid w:val="009D7196"/>
    <w:rsid w:val="009D75F4"/>
    <w:rsid w:val="009D78E3"/>
    <w:rsid w:val="009D7941"/>
    <w:rsid w:val="009E031E"/>
    <w:rsid w:val="009E04DE"/>
    <w:rsid w:val="009E09CF"/>
    <w:rsid w:val="009E1AD4"/>
    <w:rsid w:val="009E31B7"/>
    <w:rsid w:val="009E3A08"/>
    <w:rsid w:val="009E488E"/>
    <w:rsid w:val="009E596D"/>
    <w:rsid w:val="009E5C01"/>
    <w:rsid w:val="009E5E24"/>
    <w:rsid w:val="009E5F41"/>
    <w:rsid w:val="009E6056"/>
    <w:rsid w:val="009E60DA"/>
    <w:rsid w:val="009E7666"/>
    <w:rsid w:val="009F0305"/>
    <w:rsid w:val="009F05E3"/>
    <w:rsid w:val="009F0A0B"/>
    <w:rsid w:val="009F1811"/>
    <w:rsid w:val="009F19C1"/>
    <w:rsid w:val="009F1FAC"/>
    <w:rsid w:val="009F225A"/>
    <w:rsid w:val="009F2337"/>
    <w:rsid w:val="009F24F2"/>
    <w:rsid w:val="009F317B"/>
    <w:rsid w:val="009F35BB"/>
    <w:rsid w:val="009F45FF"/>
    <w:rsid w:val="009F48B9"/>
    <w:rsid w:val="009F4C3E"/>
    <w:rsid w:val="009F5234"/>
    <w:rsid w:val="009F5625"/>
    <w:rsid w:val="009F6E3F"/>
    <w:rsid w:val="009F7E6C"/>
    <w:rsid w:val="009F7EDD"/>
    <w:rsid w:val="00A004C7"/>
    <w:rsid w:val="00A012F7"/>
    <w:rsid w:val="00A01DB3"/>
    <w:rsid w:val="00A04061"/>
    <w:rsid w:val="00A059BE"/>
    <w:rsid w:val="00A05BF1"/>
    <w:rsid w:val="00A05FD1"/>
    <w:rsid w:val="00A061F6"/>
    <w:rsid w:val="00A06B5C"/>
    <w:rsid w:val="00A06CF8"/>
    <w:rsid w:val="00A06DAD"/>
    <w:rsid w:val="00A06E4C"/>
    <w:rsid w:val="00A07F18"/>
    <w:rsid w:val="00A122E6"/>
    <w:rsid w:val="00A129BF"/>
    <w:rsid w:val="00A1350C"/>
    <w:rsid w:val="00A145C9"/>
    <w:rsid w:val="00A14BB9"/>
    <w:rsid w:val="00A15309"/>
    <w:rsid w:val="00A15520"/>
    <w:rsid w:val="00A165B8"/>
    <w:rsid w:val="00A17A4D"/>
    <w:rsid w:val="00A17E02"/>
    <w:rsid w:val="00A2097F"/>
    <w:rsid w:val="00A21985"/>
    <w:rsid w:val="00A21D99"/>
    <w:rsid w:val="00A2242B"/>
    <w:rsid w:val="00A22E24"/>
    <w:rsid w:val="00A22F80"/>
    <w:rsid w:val="00A23C2D"/>
    <w:rsid w:val="00A2405D"/>
    <w:rsid w:val="00A24279"/>
    <w:rsid w:val="00A25189"/>
    <w:rsid w:val="00A25322"/>
    <w:rsid w:val="00A25762"/>
    <w:rsid w:val="00A2656F"/>
    <w:rsid w:val="00A26A3F"/>
    <w:rsid w:val="00A26C0F"/>
    <w:rsid w:val="00A27370"/>
    <w:rsid w:val="00A27542"/>
    <w:rsid w:val="00A30974"/>
    <w:rsid w:val="00A30B9C"/>
    <w:rsid w:val="00A30F70"/>
    <w:rsid w:val="00A327A0"/>
    <w:rsid w:val="00A32A07"/>
    <w:rsid w:val="00A33B9B"/>
    <w:rsid w:val="00A33F7D"/>
    <w:rsid w:val="00A34A9E"/>
    <w:rsid w:val="00A35F99"/>
    <w:rsid w:val="00A36266"/>
    <w:rsid w:val="00A36E37"/>
    <w:rsid w:val="00A37E19"/>
    <w:rsid w:val="00A37F46"/>
    <w:rsid w:val="00A403C7"/>
    <w:rsid w:val="00A409B8"/>
    <w:rsid w:val="00A43153"/>
    <w:rsid w:val="00A4350C"/>
    <w:rsid w:val="00A43567"/>
    <w:rsid w:val="00A43E5B"/>
    <w:rsid w:val="00A441C8"/>
    <w:rsid w:val="00A44204"/>
    <w:rsid w:val="00A44853"/>
    <w:rsid w:val="00A44B0E"/>
    <w:rsid w:val="00A45DCC"/>
    <w:rsid w:val="00A45F73"/>
    <w:rsid w:val="00A475EC"/>
    <w:rsid w:val="00A47CB7"/>
    <w:rsid w:val="00A503C6"/>
    <w:rsid w:val="00A50926"/>
    <w:rsid w:val="00A515D7"/>
    <w:rsid w:val="00A51BB3"/>
    <w:rsid w:val="00A52A13"/>
    <w:rsid w:val="00A530B1"/>
    <w:rsid w:val="00A53968"/>
    <w:rsid w:val="00A53F24"/>
    <w:rsid w:val="00A54704"/>
    <w:rsid w:val="00A54944"/>
    <w:rsid w:val="00A54D74"/>
    <w:rsid w:val="00A54EAC"/>
    <w:rsid w:val="00A54F1A"/>
    <w:rsid w:val="00A5718D"/>
    <w:rsid w:val="00A5722C"/>
    <w:rsid w:val="00A57AD4"/>
    <w:rsid w:val="00A57F1D"/>
    <w:rsid w:val="00A6034F"/>
    <w:rsid w:val="00A613E3"/>
    <w:rsid w:val="00A6170B"/>
    <w:rsid w:val="00A61DB0"/>
    <w:rsid w:val="00A6264D"/>
    <w:rsid w:val="00A628AB"/>
    <w:rsid w:val="00A62D24"/>
    <w:rsid w:val="00A63930"/>
    <w:rsid w:val="00A64C03"/>
    <w:rsid w:val="00A6500A"/>
    <w:rsid w:val="00A659CF"/>
    <w:rsid w:val="00A65F21"/>
    <w:rsid w:val="00A65F41"/>
    <w:rsid w:val="00A6691A"/>
    <w:rsid w:val="00A66A37"/>
    <w:rsid w:val="00A670E7"/>
    <w:rsid w:val="00A67298"/>
    <w:rsid w:val="00A67396"/>
    <w:rsid w:val="00A67580"/>
    <w:rsid w:val="00A67AD3"/>
    <w:rsid w:val="00A67D06"/>
    <w:rsid w:val="00A70855"/>
    <w:rsid w:val="00A70B2B"/>
    <w:rsid w:val="00A733CD"/>
    <w:rsid w:val="00A73773"/>
    <w:rsid w:val="00A7498F"/>
    <w:rsid w:val="00A74C66"/>
    <w:rsid w:val="00A758AC"/>
    <w:rsid w:val="00A75EA1"/>
    <w:rsid w:val="00A76052"/>
    <w:rsid w:val="00A766D5"/>
    <w:rsid w:val="00A77483"/>
    <w:rsid w:val="00A77F90"/>
    <w:rsid w:val="00A801F8"/>
    <w:rsid w:val="00A81421"/>
    <w:rsid w:val="00A81C8A"/>
    <w:rsid w:val="00A82ACB"/>
    <w:rsid w:val="00A83A84"/>
    <w:rsid w:val="00A8417A"/>
    <w:rsid w:val="00A8543C"/>
    <w:rsid w:val="00A855E8"/>
    <w:rsid w:val="00A85A50"/>
    <w:rsid w:val="00A85E03"/>
    <w:rsid w:val="00A8667F"/>
    <w:rsid w:val="00A86729"/>
    <w:rsid w:val="00A87E0C"/>
    <w:rsid w:val="00A90A06"/>
    <w:rsid w:val="00A90DF4"/>
    <w:rsid w:val="00A91C4A"/>
    <w:rsid w:val="00A91E8B"/>
    <w:rsid w:val="00A933AF"/>
    <w:rsid w:val="00A93A6C"/>
    <w:rsid w:val="00A94267"/>
    <w:rsid w:val="00A944E0"/>
    <w:rsid w:val="00A94666"/>
    <w:rsid w:val="00A94AC1"/>
    <w:rsid w:val="00A957F3"/>
    <w:rsid w:val="00A96A87"/>
    <w:rsid w:val="00A96AA6"/>
    <w:rsid w:val="00A97ED6"/>
    <w:rsid w:val="00AA16BF"/>
    <w:rsid w:val="00AA16DA"/>
    <w:rsid w:val="00AA23D4"/>
    <w:rsid w:val="00AA254D"/>
    <w:rsid w:val="00AA3201"/>
    <w:rsid w:val="00AA4B63"/>
    <w:rsid w:val="00AA4DE1"/>
    <w:rsid w:val="00AA52E8"/>
    <w:rsid w:val="00AA7B53"/>
    <w:rsid w:val="00AA7ECF"/>
    <w:rsid w:val="00AB0322"/>
    <w:rsid w:val="00AB06FD"/>
    <w:rsid w:val="00AB076C"/>
    <w:rsid w:val="00AB083E"/>
    <w:rsid w:val="00AB1036"/>
    <w:rsid w:val="00AB17DB"/>
    <w:rsid w:val="00AB1A55"/>
    <w:rsid w:val="00AB247A"/>
    <w:rsid w:val="00AB26E4"/>
    <w:rsid w:val="00AB30FD"/>
    <w:rsid w:val="00AB31E0"/>
    <w:rsid w:val="00AB3CFA"/>
    <w:rsid w:val="00AB40F1"/>
    <w:rsid w:val="00AB6117"/>
    <w:rsid w:val="00AB6A56"/>
    <w:rsid w:val="00AB74D7"/>
    <w:rsid w:val="00AB7E92"/>
    <w:rsid w:val="00AB7F23"/>
    <w:rsid w:val="00AC08CD"/>
    <w:rsid w:val="00AC0EFF"/>
    <w:rsid w:val="00AC10B8"/>
    <w:rsid w:val="00AC1325"/>
    <w:rsid w:val="00AC1739"/>
    <w:rsid w:val="00AC23D5"/>
    <w:rsid w:val="00AC25EA"/>
    <w:rsid w:val="00AC2DDD"/>
    <w:rsid w:val="00AC2EA7"/>
    <w:rsid w:val="00AC2F18"/>
    <w:rsid w:val="00AC42FE"/>
    <w:rsid w:val="00AC4988"/>
    <w:rsid w:val="00AC4C7F"/>
    <w:rsid w:val="00AC5131"/>
    <w:rsid w:val="00AC5639"/>
    <w:rsid w:val="00AC61FF"/>
    <w:rsid w:val="00AC6FD2"/>
    <w:rsid w:val="00AC7112"/>
    <w:rsid w:val="00AC79A4"/>
    <w:rsid w:val="00AC7E24"/>
    <w:rsid w:val="00AD14E5"/>
    <w:rsid w:val="00AD1C61"/>
    <w:rsid w:val="00AD1F65"/>
    <w:rsid w:val="00AD2404"/>
    <w:rsid w:val="00AD291A"/>
    <w:rsid w:val="00AD30F6"/>
    <w:rsid w:val="00AD3D92"/>
    <w:rsid w:val="00AD4064"/>
    <w:rsid w:val="00AD4868"/>
    <w:rsid w:val="00AD4949"/>
    <w:rsid w:val="00AD5444"/>
    <w:rsid w:val="00AD5487"/>
    <w:rsid w:val="00AD55E1"/>
    <w:rsid w:val="00AD569D"/>
    <w:rsid w:val="00AD5E32"/>
    <w:rsid w:val="00AD655D"/>
    <w:rsid w:val="00AD6BDE"/>
    <w:rsid w:val="00AD6D32"/>
    <w:rsid w:val="00AD7689"/>
    <w:rsid w:val="00AD76E5"/>
    <w:rsid w:val="00AE07E1"/>
    <w:rsid w:val="00AE091A"/>
    <w:rsid w:val="00AE0DB8"/>
    <w:rsid w:val="00AE1D2B"/>
    <w:rsid w:val="00AE3D89"/>
    <w:rsid w:val="00AE44D8"/>
    <w:rsid w:val="00AE4E81"/>
    <w:rsid w:val="00AE508C"/>
    <w:rsid w:val="00AE5763"/>
    <w:rsid w:val="00AE58E7"/>
    <w:rsid w:val="00AE5D5C"/>
    <w:rsid w:val="00AE61DD"/>
    <w:rsid w:val="00AE6C5E"/>
    <w:rsid w:val="00AE7B74"/>
    <w:rsid w:val="00AF035C"/>
    <w:rsid w:val="00AF202C"/>
    <w:rsid w:val="00AF2924"/>
    <w:rsid w:val="00AF37A6"/>
    <w:rsid w:val="00AF3FB5"/>
    <w:rsid w:val="00AF43D6"/>
    <w:rsid w:val="00AF4487"/>
    <w:rsid w:val="00AF48B2"/>
    <w:rsid w:val="00AF4A58"/>
    <w:rsid w:val="00AF52F2"/>
    <w:rsid w:val="00AF5616"/>
    <w:rsid w:val="00AF5630"/>
    <w:rsid w:val="00AF6271"/>
    <w:rsid w:val="00AF67F4"/>
    <w:rsid w:val="00AF6B84"/>
    <w:rsid w:val="00B00A25"/>
    <w:rsid w:val="00B01AD3"/>
    <w:rsid w:val="00B02375"/>
    <w:rsid w:val="00B0264F"/>
    <w:rsid w:val="00B02DA1"/>
    <w:rsid w:val="00B037AA"/>
    <w:rsid w:val="00B03A5B"/>
    <w:rsid w:val="00B03DC7"/>
    <w:rsid w:val="00B05B60"/>
    <w:rsid w:val="00B06E33"/>
    <w:rsid w:val="00B0774A"/>
    <w:rsid w:val="00B07B1A"/>
    <w:rsid w:val="00B105D9"/>
    <w:rsid w:val="00B10A60"/>
    <w:rsid w:val="00B111F2"/>
    <w:rsid w:val="00B1177B"/>
    <w:rsid w:val="00B119EE"/>
    <w:rsid w:val="00B13150"/>
    <w:rsid w:val="00B13712"/>
    <w:rsid w:val="00B14F7D"/>
    <w:rsid w:val="00B15DAE"/>
    <w:rsid w:val="00B173AF"/>
    <w:rsid w:val="00B20283"/>
    <w:rsid w:val="00B2063A"/>
    <w:rsid w:val="00B21D26"/>
    <w:rsid w:val="00B21D52"/>
    <w:rsid w:val="00B2317E"/>
    <w:rsid w:val="00B234AB"/>
    <w:rsid w:val="00B23A19"/>
    <w:rsid w:val="00B264DB"/>
    <w:rsid w:val="00B26F96"/>
    <w:rsid w:val="00B26FE1"/>
    <w:rsid w:val="00B27D8B"/>
    <w:rsid w:val="00B30450"/>
    <w:rsid w:val="00B308A3"/>
    <w:rsid w:val="00B308F0"/>
    <w:rsid w:val="00B310D4"/>
    <w:rsid w:val="00B31E6A"/>
    <w:rsid w:val="00B3211D"/>
    <w:rsid w:val="00B32A99"/>
    <w:rsid w:val="00B338DB"/>
    <w:rsid w:val="00B33C67"/>
    <w:rsid w:val="00B33FEB"/>
    <w:rsid w:val="00B340CC"/>
    <w:rsid w:val="00B341FF"/>
    <w:rsid w:val="00B34379"/>
    <w:rsid w:val="00B351D6"/>
    <w:rsid w:val="00B35212"/>
    <w:rsid w:val="00B357DA"/>
    <w:rsid w:val="00B35F91"/>
    <w:rsid w:val="00B36393"/>
    <w:rsid w:val="00B36695"/>
    <w:rsid w:val="00B3669B"/>
    <w:rsid w:val="00B36AAE"/>
    <w:rsid w:val="00B36C81"/>
    <w:rsid w:val="00B36C9F"/>
    <w:rsid w:val="00B36D9E"/>
    <w:rsid w:val="00B372AF"/>
    <w:rsid w:val="00B37567"/>
    <w:rsid w:val="00B408B8"/>
    <w:rsid w:val="00B412C2"/>
    <w:rsid w:val="00B4132E"/>
    <w:rsid w:val="00B4221E"/>
    <w:rsid w:val="00B435FB"/>
    <w:rsid w:val="00B43AB5"/>
    <w:rsid w:val="00B43E3F"/>
    <w:rsid w:val="00B44A23"/>
    <w:rsid w:val="00B462EF"/>
    <w:rsid w:val="00B46688"/>
    <w:rsid w:val="00B46B77"/>
    <w:rsid w:val="00B474AF"/>
    <w:rsid w:val="00B5012D"/>
    <w:rsid w:val="00B50B3F"/>
    <w:rsid w:val="00B51591"/>
    <w:rsid w:val="00B517D8"/>
    <w:rsid w:val="00B52B49"/>
    <w:rsid w:val="00B533B8"/>
    <w:rsid w:val="00B5344B"/>
    <w:rsid w:val="00B534C4"/>
    <w:rsid w:val="00B53A54"/>
    <w:rsid w:val="00B53D10"/>
    <w:rsid w:val="00B54334"/>
    <w:rsid w:val="00B55AF4"/>
    <w:rsid w:val="00B55C5F"/>
    <w:rsid w:val="00B57202"/>
    <w:rsid w:val="00B57C4C"/>
    <w:rsid w:val="00B57CA4"/>
    <w:rsid w:val="00B600F7"/>
    <w:rsid w:val="00B61F62"/>
    <w:rsid w:val="00B63C01"/>
    <w:rsid w:val="00B64CC9"/>
    <w:rsid w:val="00B65564"/>
    <w:rsid w:val="00B65BC0"/>
    <w:rsid w:val="00B65FC9"/>
    <w:rsid w:val="00B66346"/>
    <w:rsid w:val="00B66402"/>
    <w:rsid w:val="00B70C6E"/>
    <w:rsid w:val="00B71003"/>
    <w:rsid w:val="00B7170D"/>
    <w:rsid w:val="00B71AE6"/>
    <w:rsid w:val="00B71D50"/>
    <w:rsid w:val="00B729E2"/>
    <w:rsid w:val="00B73581"/>
    <w:rsid w:val="00B73C40"/>
    <w:rsid w:val="00B7465B"/>
    <w:rsid w:val="00B74863"/>
    <w:rsid w:val="00B753E8"/>
    <w:rsid w:val="00B75F50"/>
    <w:rsid w:val="00B76A5B"/>
    <w:rsid w:val="00B76A74"/>
    <w:rsid w:val="00B7723F"/>
    <w:rsid w:val="00B777F0"/>
    <w:rsid w:val="00B812BD"/>
    <w:rsid w:val="00B820B6"/>
    <w:rsid w:val="00B8264D"/>
    <w:rsid w:val="00B82718"/>
    <w:rsid w:val="00B827BB"/>
    <w:rsid w:val="00B833D1"/>
    <w:rsid w:val="00B835DC"/>
    <w:rsid w:val="00B84707"/>
    <w:rsid w:val="00B84A2D"/>
    <w:rsid w:val="00B852CF"/>
    <w:rsid w:val="00B857FC"/>
    <w:rsid w:val="00B86E79"/>
    <w:rsid w:val="00B90753"/>
    <w:rsid w:val="00B910E0"/>
    <w:rsid w:val="00B92F19"/>
    <w:rsid w:val="00B931CB"/>
    <w:rsid w:val="00B94303"/>
    <w:rsid w:val="00B947EF"/>
    <w:rsid w:val="00B95228"/>
    <w:rsid w:val="00B95241"/>
    <w:rsid w:val="00B95549"/>
    <w:rsid w:val="00B95793"/>
    <w:rsid w:val="00B95C01"/>
    <w:rsid w:val="00B96256"/>
    <w:rsid w:val="00B97673"/>
    <w:rsid w:val="00BA0AD7"/>
    <w:rsid w:val="00BA1E13"/>
    <w:rsid w:val="00BA2005"/>
    <w:rsid w:val="00BA26E3"/>
    <w:rsid w:val="00BA2D05"/>
    <w:rsid w:val="00BA31E9"/>
    <w:rsid w:val="00BA32F6"/>
    <w:rsid w:val="00BA33D1"/>
    <w:rsid w:val="00BA4A08"/>
    <w:rsid w:val="00BA550D"/>
    <w:rsid w:val="00BA5972"/>
    <w:rsid w:val="00BA5B09"/>
    <w:rsid w:val="00BA69EB"/>
    <w:rsid w:val="00BA74F2"/>
    <w:rsid w:val="00BB1A0C"/>
    <w:rsid w:val="00BB1C4B"/>
    <w:rsid w:val="00BB2478"/>
    <w:rsid w:val="00BB32BA"/>
    <w:rsid w:val="00BB5326"/>
    <w:rsid w:val="00BB6A64"/>
    <w:rsid w:val="00BB6B93"/>
    <w:rsid w:val="00BB7032"/>
    <w:rsid w:val="00BB7B17"/>
    <w:rsid w:val="00BC065C"/>
    <w:rsid w:val="00BC0858"/>
    <w:rsid w:val="00BC0B25"/>
    <w:rsid w:val="00BC0D18"/>
    <w:rsid w:val="00BC0E5C"/>
    <w:rsid w:val="00BC15EF"/>
    <w:rsid w:val="00BC1A87"/>
    <w:rsid w:val="00BC2973"/>
    <w:rsid w:val="00BC2A10"/>
    <w:rsid w:val="00BC370C"/>
    <w:rsid w:val="00BC4039"/>
    <w:rsid w:val="00BC4E0E"/>
    <w:rsid w:val="00BC53CF"/>
    <w:rsid w:val="00BC6214"/>
    <w:rsid w:val="00BC64AA"/>
    <w:rsid w:val="00BC7230"/>
    <w:rsid w:val="00BC77CC"/>
    <w:rsid w:val="00BC77DA"/>
    <w:rsid w:val="00BC7AA3"/>
    <w:rsid w:val="00BC7C5E"/>
    <w:rsid w:val="00BD0318"/>
    <w:rsid w:val="00BD0505"/>
    <w:rsid w:val="00BD0F41"/>
    <w:rsid w:val="00BD131C"/>
    <w:rsid w:val="00BD1736"/>
    <w:rsid w:val="00BD1DDC"/>
    <w:rsid w:val="00BD1F71"/>
    <w:rsid w:val="00BD28C6"/>
    <w:rsid w:val="00BD4287"/>
    <w:rsid w:val="00BD4882"/>
    <w:rsid w:val="00BD4FC0"/>
    <w:rsid w:val="00BD570E"/>
    <w:rsid w:val="00BD6226"/>
    <w:rsid w:val="00BD6284"/>
    <w:rsid w:val="00BD6476"/>
    <w:rsid w:val="00BD665F"/>
    <w:rsid w:val="00BD6D71"/>
    <w:rsid w:val="00BD716B"/>
    <w:rsid w:val="00BD7311"/>
    <w:rsid w:val="00BD7739"/>
    <w:rsid w:val="00BD7F3D"/>
    <w:rsid w:val="00BE02C3"/>
    <w:rsid w:val="00BE03C3"/>
    <w:rsid w:val="00BE060A"/>
    <w:rsid w:val="00BE16AC"/>
    <w:rsid w:val="00BE1EDD"/>
    <w:rsid w:val="00BE2263"/>
    <w:rsid w:val="00BE22DE"/>
    <w:rsid w:val="00BE2E1B"/>
    <w:rsid w:val="00BE307E"/>
    <w:rsid w:val="00BE3A78"/>
    <w:rsid w:val="00BE3B34"/>
    <w:rsid w:val="00BE44B3"/>
    <w:rsid w:val="00BE5A30"/>
    <w:rsid w:val="00BE5D0A"/>
    <w:rsid w:val="00BE618E"/>
    <w:rsid w:val="00BE632D"/>
    <w:rsid w:val="00BE69E1"/>
    <w:rsid w:val="00BE6E80"/>
    <w:rsid w:val="00BE72DF"/>
    <w:rsid w:val="00BE7F2A"/>
    <w:rsid w:val="00BF042E"/>
    <w:rsid w:val="00BF0C9C"/>
    <w:rsid w:val="00BF148C"/>
    <w:rsid w:val="00BF15FF"/>
    <w:rsid w:val="00BF177B"/>
    <w:rsid w:val="00BF1807"/>
    <w:rsid w:val="00BF2D52"/>
    <w:rsid w:val="00BF321F"/>
    <w:rsid w:val="00BF332C"/>
    <w:rsid w:val="00BF3ECD"/>
    <w:rsid w:val="00BF516A"/>
    <w:rsid w:val="00BF5291"/>
    <w:rsid w:val="00BF592E"/>
    <w:rsid w:val="00BF5CF5"/>
    <w:rsid w:val="00BF5D4B"/>
    <w:rsid w:val="00BF5D76"/>
    <w:rsid w:val="00BF67BC"/>
    <w:rsid w:val="00BF6CA9"/>
    <w:rsid w:val="00BF70CB"/>
    <w:rsid w:val="00C0205B"/>
    <w:rsid w:val="00C03541"/>
    <w:rsid w:val="00C0376B"/>
    <w:rsid w:val="00C046E4"/>
    <w:rsid w:val="00C04CCE"/>
    <w:rsid w:val="00C05067"/>
    <w:rsid w:val="00C055C7"/>
    <w:rsid w:val="00C06B25"/>
    <w:rsid w:val="00C07363"/>
    <w:rsid w:val="00C07901"/>
    <w:rsid w:val="00C07E56"/>
    <w:rsid w:val="00C10835"/>
    <w:rsid w:val="00C1153A"/>
    <w:rsid w:val="00C11FAE"/>
    <w:rsid w:val="00C12364"/>
    <w:rsid w:val="00C12B7C"/>
    <w:rsid w:val="00C12F4B"/>
    <w:rsid w:val="00C13DDC"/>
    <w:rsid w:val="00C156F9"/>
    <w:rsid w:val="00C165A2"/>
    <w:rsid w:val="00C17C8C"/>
    <w:rsid w:val="00C20FBE"/>
    <w:rsid w:val="00C21869"/>
    <w:rsid w:val="00C22F54"/>
    <w:rsid w:val="00C236D7"/>
    <w:rsid w:val="00C23AB9"/>
    <w:rsid w:val="00C23B82"/>
    <w:rsid w:val="00C23EC8"/>
    <w:rsid w:val="00C23FA8"/>
    <w:rsid w:val="00C25E38"/>
    <w:rsid w:val="00C261F0"/>
    <w:rsid w:val="00C268FF"/>
    <w:rsid w:val="00C303E0"/>
    <w:rsid w:val="00C3121F"/>
    <w:rsid w:val="00C324CA"/>
    <w:rsid w:val="00C32C8B"/>
    <w:rsid w:val="00C332AD"/>
    <w:rsid w:val="00C33332"/>
    <w:rsid w:val="00C34981"/>
    <w:rsid w:val="00C34D86"/>
    <w:rsid w:val="00C34FBE"/>
    <w:rsid w:val="00C35B3B"/>
    <w:rsid w:val="00C35C66"/>
    <w:rsid w:val="00C35EC8"/>
    <w:rsid w:val="00C3671C"/>
    <w:rsid w:val="00C36B34"/>
    <w:rsid w:val="00C37D77"/>
    <w:rsid w:val="00C37D9C"/>
    <w:rsid w:val="00C40959"/>
    <w:rsid w:val="00C411B3"/>
    <w:rsid w:val="00C41389"/>
    <w:rsid w:val="00C416ED"/>
    <w:rsid w:val="00C41A53"/>
    <w:rsid w:val="00C41AAF"/>
    <w:rsid w:val="00C4219F"/>
    <w:rsid w:val="00C4300D"/>
    <w:rsid w:val="00C439E4"/>
    <w:rsid w:val="00C43F50"/>
    <w:rsid w:val="00C4516E"/>
    <w:rsid w:val="00C453AD"/>
    <w:rsid w:val="00C45552"/>
    <w:rsid w:val="00C46DFC"/>
    <w:rsid w:val="00C47010"/>
    <w:rsid w:val="00C47591"/>
    <w:rsid w:val="00C47827"/>
    <w:rsid w:val="00C50611"/>
    <w:rsid w:val="00C516B4"/>
    <w:rsid w:val="00C519FC"/>
    <w:rsid w:val="00C51F73"/>
    <w:rsid w:val="00C52274"/>
    <w:rsid w:val="00C53056"/>
    <w:rsid w:val="00C5434C"/>
    <w:rsid w:val="00C54716"/>
    <w:rsid w:val="00C5477C"/>
    <w:rsid w:val="00C55289"/>
    <w:rsid w:val="00C56362"/>
    <w:rsid w:val="00C563D8"/>
    <w:rsid w:val="00C56A5C"/>
    <w:rsid w:val="00C57388"/>
    <w:rsid w:val="00C576DE"/>
    <w:rsid w:val="00C57FC1"/>
    <w:rsid w:val="00C607C2"/>
    <w:rsid w:val="00C608B9"/>
    <w:rsid w:val="00C623BF"/>
    <w:rsid w:val="00C62C75"/>
    <w:rsid w:val="00C62F05"/>
    <w:rsid w:val="00C633FC"/>
    <w:rsid w:val="00C64E4F"/>
    <w:rsid w:val="00C659F2"/>
    <w:rsid w:val="00C660E6"/>
    <w:rsid w:val="00C67B89"/>
    <w:rsid w:val="00C67C0B"/>
    <w:rsid w:val="00C70247"/>
    <w:rsid w:val="00C70528"/>
    <w:rsid w:val="00C705D4"/>
    <w:rsid w:val="00C71144"/>
    <w:rsid w:val="00C722E0"/>
    <w:rsid w:val="00C726E3"/>
    <w:rsid w:val="00C72C37"/>
    <w:rsid w:val="00C72E60"/>
    <w:rsid w:val="00C72FCF"/>
    <w:rsid w:val="00C751E8"/>
    <w:rsid w:val="00C76070"/>
    <w:rsid w:val="00C76ADC"/>
    <w:rsid w:val="00C76F5C"/>
    <w:rsid w:val="00C76FB4"/>
    <w:rsid w:val="00C77281"/>
    <w:rsid w:val="00C772EE"/>
    <w:rsid w:val="00C8015F"/>
    <w:rsid w:val="00C81409"/>
    <w:rsid w:val="00C83798"/>
    <w:rsid w:val="00C83D27"/>
    <w:rsid w:val="00C83F44"/>
    <w:rsid w:val="00C852E5"/>
    <w:rsid w:val="00C85BA1"/>
    <w:rsid w:val="00C85FC2"/>
    <w:rsid w:val="00C8741D"/>
    <w:rsid w:val="00C87C37"/>
    <w:rsid w:val="00C9003E"/>
    <w:rsid w:val="00C90790"/>
    <w:rsid w:val="00C90849"/>
    <w:rsid w:val="00C910CF"/>
    <w:rsid w:val="00C916AE"/>
    <w:rsid w:val="00C9321B"/>
    <w:rsid w:val="00C9337B"/>
    <w:rsid w:val="00C93623"/>
    <w:rsid w:val="00C93B0F"/>
    <w:rsid w:val="00C94743"/>
    <w:rsid w:val="00C94817"/>
    <w:rsid w:val="00C95302"/>
    <w:rsid w:val="00C95728"/>
    <w:rsid w:val="00C96284"/>
    <w:rsid w:val="00C9685C"/>
    <w:rsid w:val="00C97BF4"/>
    <w:rsid w:val="00CA049D"/>
    <w:rsid w:val="00CA0CEB"/>
    <w:rsid w:val="00CA1053"/>
    <w:rsid w:val="00CA1513"/>
    <w:rsid w:val="00CA1686"/>
    <w:rsid w:val="00CA1876"/>
    <w:rsid w:val="00CA20EE"/>
    <w:rsid w:val="00CA21D7"/>
    <w:rsid w:val="00CA27C9"/>
    <w:rsid w:val="00CA3163"/>
    <w:rsid w:val="00CA37AB"/>
    <w:rsid w:val="00CA5465"/>
    <w:rsid w:val="00CA55A0"/>
    <w:rsid w:val="00CA57B8"/>
    <w:rsid w:val="00CA5F6C"/>
    <w:rsid w:val="00CA6353"/>
    <w:rsid w:val="00CA66FD"/>
    <w:rsid w:val="00CA7825"/>
    <w:rsid w:val="00CA7A21"/>
    <w:rsid w:val="00CB02AE"/>
    <w:rsid w:val="00CB03C9"/>
    <w:rsid w:val="00CB0BFD"/>
    <w:rsid w:val="00CB10DE"/>
    <w:rsid w:val="00CB23AA"/>
    <w:rsid w:val="00CB282C"/>
    <w:rsid w:val="00CB2B03"/>
    <w:rsid w:val="00CB2BFE"/>
    <w:rsid w:val="00CB3781"/>
    <w:rsid w:val="00CB3BBE"/>
    <w:rsid w:val="00CB401F"/>
    <w:rsid w:val="00CB4945"/>
    <w:rsid w:val="00CB49BD"/>
    <w:rsid w:val="00CB4CB3"/>
    <w:rsid w:val="00CB52FC"/>
    <w:rsid w:val="00CB5330"/>
    <w:rsid w:val="00CB5E9E"/>
    <w:rsid w:val="00CB6629"/>
    <w:rsid w:val="00CB6A0E"/>
    <w:rsid w:val="00CB6C98"/>
    <w:rsid w:val="00CB76F1"/>
    <w:rsid w:val="00CB778E"/>
    <w:rsid w:val="00CC0282"/>
    <w:rsid w:val="00CC0CFB"/>
    <w:rsid w:val="00CC0DA1"/>
    <w:rsid w:val="00CC1BB9"/>
    <w:rsid w:val="00CC2481"/>
    <w:rsid w:val="00CC3170"/>
    <w:rsid w:val="00CC3CB0"/>
    <w:rsid w:val="00CC3FBD"/>
    <w:rsid w:val="00CC4661"/>
    <w:rsid w:val="00CC49C3"/>
    <w:rsid w:val="00CC4B95"/>
    <w:rsid w:val="00CC4F9C"/>
    <w:rsid w:val="00CC5136"/>
    <w:rsid w:val="00CC56DC"/>
    <w:rsid w:val="00CC5A26"/>
    <w:rsid w:val="00CC6602"/>
    <w:rsid w:val="00CC72A0"/>
    <w:rsid w:val="00CD0075"/>
    <w:rsid w:val="00CD0E33"/>
    <w:rsid w:val="00CD0FA8"/>
    <w:rsid w:val="00CD1342"/>
    <w:rsid w:val="00CD227C"/>
    <w:rsid w:val="00CD2D0B"/>
    <w:rsid w:val="00CD367B"/>
    <w:rsid w:val="00CD4168"/>
    <w:rsid w:val="00CD45B8"/>
    <w:rsid w:val="00CD5A98"/>
    <w:rsid w:val="00CD67B0"/>
    <w:rsid w:val="00CD6812"/>
    <w:rsid w:val="00CD70AF"/>
    <w:rsid w:val="00CE0517"/>
    <w:rsid w:val="00CE0AA5"/>
    <w:rsid w:val="00CE0C0F"/>
    <w:rsid w:val="00CE2A5A"/>
    <w:rsid w:val="00CE2ADC"/>
    <w:rsid w:val="00CE3073"/>
    <w:rsid w:val="00CE3661"/>
    <w:rsid w:val="00CE4BB6"/>
    <w:rsid w:val="00CE50E5"/>
    <w:rsid w:val="00CE5B1E"/>
    <w:rsid w:val="00CE5CD2"/>
    <w:rsid w:val="00CE6229"/>
    <w:rsid w:val="00CE6D2B"/>
    <w:rsid w:val="00CF0B59"/>
    <w:rsid w:val="00CF1696"/>
    <w:rsid w:val="00CF17DD"/>
    <w:rsid w:val="00CF2449"/>
    <w:rsid w:val="00CF44F5"/>
    <w:rsid w:val="00CF4F18"/>
    <w:rsid w:val="00CF5530"/>
    <w:rsid w:val="00CF58A6"/>
    <w:rsid w:val="00CF789A"/>
    <w:rsid w:val="00D00313"/>
    <w:rsid w:val="00D0170A"/>
    <w:rsid w:val="00D01848"/>
    <w:rsid w:val="00D01F0F"/>
    <w:rsid w:val="00D03417"/>
    <w:rsid w:val="00D045E7"/>
    <w:rsid w:val="00D04E59"/>
    <w:rsid w:val="00D065D9"/>
    <w:rsid w:val="00D111E0"/>
    <w:rsid w:val="00D114CD"/>
    <w:rsid w:val="00D12075"/>
    <w:rsid w:val="00D124AB"/>
    <w:rsid w:val="00D12C7E"/>
    <w:rsid w:val="00D13592"/>
    <w:rsid w:val="00D136F9"/>
    <w:rsid w:val="00D13D0F"/>
    <w:rsid w:val="00D14096"/>
    <w:rsid w:val="00D16235"/>
    <w:rsid w:val="00D16A4F"/>
    <w:rsid w:val="00D176C4"/>
    <w:rsid w:val="00D17CA0"/>
    <w:rsid w:val="00D20796"/>
    <w:rsid w:val="00D22535"/>
    <w:rsid w:val="00D22739"/>
    <w:rsid w:val="00D2334C"/>
    <w:rsid w:val="00D23775"/>
    <w:rsid w:val="00D23850"/>
    <w:rsid w:val="00D238CC"/>
    <w:rsid w:val="00D23997"/>
    <w:rsid w:val="00D243DC"/>
    <w:rsid w:val="00D252E5"/>
    <w:rsid w:val="00D267AC"/>
    <w:rsid w:val="00D27A85"/>
    <w:rsid w:val="00D27E0C"/>
    <w:rsid w:val="00D3041C"/>
    <w:rsid w:val="00D319A3"/>
    <w:rsid w:val="00D32419"/>
    <w:rsid w:val="00D335FB"/>
    <w:rsid w:val="00D33E36"/>
    <w:rsid w:val="00D342A6"/>
    <w:rsid w:val="00D34C81"/>
    <w:rsid w:val="00D376BF"/>
    <w:rsid w:val="00D40332"/>
    <w:rsid w:val="00D40372"/>
    <w:rsid w:val="00D4038C"/>
    <w:rsid w:val="00D40ADD"/>
    <w:rsid w:val="00D40BFD"/>
    <w:rsid w:val="00D41AA9"/>
    <w:rsid w:val="00D43772"/>
    <w:rsid w:val="00D43C8F"/>
    <w:rsid w:val="00D4443A"/>
    <w:rsid w:val="00D453AC"/>
    <w:rsid w:val="00D4585D"/>
    <w:rsid w:val="00D4587D"/>
    <w:rsid w:val="00D458DE"/>
    <w:rsid w:val="00D45F36"/>
    <w:rsid w:val="00D46D45"/>
    <w:rsid w:val="00D5172A"/>
    <w:rsid w:val="00D51F38"/>
    <w:rsid w:val="00D52A79"/>
    <w:rsid w:val="00D53D45"/>
    <w:rsid w:val="00D53F08"/>
    <w:rsid w:val="00D53FC2"/>
    <w:rsid w:val="00D55004"/>
    <w:rsid w:val="00D55B71"/>
    <w:rsid w:val="00D55CEE"/>
    <w:rsid w:val="00D55F1C"/>
    <w:rsid w:val="00D56CF8"/>
    <w:rsid w:val="00D57292"/>
    <w:rsid w:val="00D609AD"/>
    <w:rsid w:val="00D61619"/>
    <w:rsid w:val="00D623BC"/>
    <w:rsid w:val="00D62484"/>
    <w:rsid w:val="00D62B38"/>
    <w:rsid w:val="00D62C3A"/>
    <w:rsid w:val="00D62C77"/>
    <w:rsid w:val="00D63522"/>
    <w:rsid w:val="00D63A83"/>
    <w:rsid w:val="00D64A43"/>
    <w:rsid w:val="00D650E0"/>
    <w:rsid w:val="00D65923"/>
    <w:rsid w:val="00D659FC"/>
    <w:rsid w:val="00D65A27"/>
    <w:rsid w:val="00D66830"/>
    <w:rsid w:val="00D67F0B"/>
    <w:rsid w:val="00D702BE"/>
    <w:rsid w:val="00D72540"/>
    <w:rsid w:val="00D73F7F"/>
    <w:rsid w:val="00D74AF2"/>
    <w:rsid w:val="00D755B2"/>
    <w:rsid w:val="00D76653"/>
    <w:rsid w:val="00D76AF7"/>
    <w:rsid w:val="00D76B73"/>
    <w:rsid w:val="00D772E4"/>
    <w:rsid w:val="00D77A1B"/>
    <w:rsid w:val="00D77C32"/>
    <w:rsid w:val="00D80FF9"/>
    <w:rsid w:val="00D811BD"/>
    <w:rsid w:val="00D8153A"/>
    <w:rsid w:val="00D82283"/>
    <w:rsid w:val="00D84345"/>
    <w:rsid w:val="00D84C75"/>
    <w:rsid w:val="00D8527C"/>
    <w:rsid w:val="00D86DBA"/>
    <w:rsid w:val="00D87441"/>
    <w:rsid w:val="00D93B8F"/>
    <w:rsid w:val="00D94F4E"/>
    <w:rsid w:val="00D9647F"/>
    <w:rsid w:val="00D96D2A"/>
    <w:rsid w:val="00D96E66"/>
    <w:rsid w:val="00D96FBD"/>
    <w:rsid w:val="00DA0DC0"/>
    <w:rsid w:val="00DA30D1"/>
    <w:rsid w:val="00DA321B"/>
    <w:rsid w:val="00DA3AA9"/>
    <w:rsid w:val="00DA4A9E"/>
    <w:rsid w:val="00DA5576"/>
    <w:rsid w:val="00DA57F8"/>
    <w:rsid w:val="00DA6115"/>
    <w:rsid w:val="00DA6281"/>
    <w:rsid w:val="00DA6407"/>
    <w:rsid w:val="00DA6CFA"/>
    <w:rsid w:val="00DA733E"/>
    <w:rsid w:val="00DB0A43"/>
    <w:rsid w:val="00DB0D08"/>
    <w:rsid w:val="00DB0D2A"/>
    <w:rsid w:val="00DB0DCC"/>
    <w:rsid w:val="00DB2658"/>
    <w:rsid w:val="00DB28B0"/>
    <w:rsid w:val="00DB359D"/>
    <w:rsid w:val="00DB37CC"/>
    <w:rsid w:val="00DB4062"/>
    <w:rsid w:val="00DB4208"/>
    <w:rsid w:val="00DB5049"/>
    <w:rsid w:val="00DB56C7"/>
    <w:rsid w:val="00DB5B62"/>
    <w:rsid w:val="00DB68B9"/>
    <w:rsid w:val="00DB6B93"/>
    <w:rsid w:val="00DB71C7"/>
    <w:rsid w:val="00DC0ADD"/>
    <w:rsid w:val="00DC0F29"/>
    <w:rsid w:val="00DC1590"/>
    <w:rsid w:val="00DC18E0"/>
    <w:rsid w:val="00DC1A82"/>
    <w:rsid w:val="00DC1B15"/>
    <w:rsid w:val="00DC1C3A"/>
    <w:rsid w:val="00DC23C3"/>
    <w:rsid w:val="00DC278E"/>
    <w:rsid w:val="00DC3794"/>
    <w:rsid w:val="00DC42CF"/>
    <w:rsid w:val="00DC470B"/>
    <w:rsid w:val="00DC4F06"/>
    <w:rsid w:val="00DC62C2"/>
    <w:rsid w:val="00DC64B7"/>
    <w:rsid w:val="00DC6B3F"/>
    <w:rsid w:val="00DC7094"/>
    <w:rsid w:val="00DC7C01"/>
    <w:rsid w:val="00DC7D32"/>
    <w:rsid w:val="00DD016A"/>
    <w:rsid w:val="00DD01F6"/>
    <w:rsid w:val="00DD07D0"/>
    <w:rsid w:val="00DD18ED"/>
    <w:rsid w:val="00DD2D0D"/>
    <w:rsid w:val="00DD312B"/>
    <w:rsid w:val="00DD34E8"/>
    <w:rsid w:val="00DD4C2E"/>
    <w:rsid w:val="00DD5CA7"/>
    <w:rsid w:val="00DD631E"/>
    <w:rsid w:val="00DD684E"/>
    <w:rsid w:val="00DD7B4A"/>
    <w:rsid w:val="00DE0313"/>
    <w:rsid w:val="00DE1099"/>
    <w:rsid w:val="00DE13B6"/>
    <w:rsid w:val="00DE1B6A"/>
    <w:rsid w:val="00DE1B8F"/>
    <w:rsid w:val="00DE2203"/>
    <w:rsid w:val="00DE383B"/>
    <w:rsid w:val="00DE3C52"/>
    <w:rsid w:val="00DE48A6"/>
    <w:rsid w:val="00DE4D8B"/>
    <w:rsid w:val="00DE4DBB"/>
    <w:rsid w:val="00DE4EC1"/>
    <w:rsid w:val="00DE4FFB"/>
    <w:rsid w:val="00DE59D5"/>
    <w:rsid w:val="00DE5A9A"/>
    <w:rsid w:val="00DE6EE8"/>
    <w:rsid w:val="00DE741C"/>
    <w:rsid w:val="00DE7875"/>
    <w:rsid w:val="00DF00AF"/>
    <w:rsid w:val="00DF0CB2"/>
    <w:rsid w:val="00DF0D1E"/>
    <w:rsid w:val="00DF13AC"/>
    <w:rsid w:val="00DF1444"/>
    <w:rsid w:val="00DF205F"/>
    <w:rsid w:val="00DF389C"/>
    <w:rsid w:val="00DF4D06"/>
    <w:rsid w:val="00DF57F4"/>
    <w:rsid w:val="00DF5A49"/>
    <w:rsid w:val="00DF6CC5"/>
    <w:rsid w:val="00E00943"/>
    <w:rsid w:val="00E01E89"/>
    <w:rsid w:val="00E0399B"/>
    <w:rsid w:val="00E03BC6"/>
    <w:rsid w:val="00E03EF0"/>
    <w:rsid w:val="00E04902"/>
    <w:rsid w:val="00E04977"/>
    <w:rsid w:val="00E0511D"/>
    <w:rsid w:val="00E059D8"/>
    <w:rsid w:val="00E05A18"/>
    <w:rsid w:val="00E05CEE"/>
    <w:rsid w:val="00E063C1"/>
    <w:rsid w:val="00E068EF"/>
    <w:rsid w:val="00E0777F"/>
    <w:rsid w:val="00E07B06"/>
    <w:rsid w:val="00E113D5"/>
    <w:rsid w:val="00E114F2"/>
    <w:rsid w:val="00E11FA7"/>
    <w:rsid w:val="00E12FBA"/>
    <w:rsid w:val="00E133DD"/>
    <w:rsid w:val="00E145B2"/>
    <w:rsid w:val="00E147C0"/>
    <w:rsid w:val="00E15084"/>
    <w:rsid w:val="00E15A47"/>
    <w:rsid w:val="00E170B4"/>
    <w:rsid w:val="00E17B80"/>
    <w:rsid w:val="00E17BBF"/>
    <w:rsid w:val="00E20E04"/>
    <w:rsid w:val="00E217DE"/>
    <w:rsid w:val="00E22D82"/>
    <w:rsid w:val="00E22F3A"/>
    <w:rsid w:val="00E233EB"/>
    <w:rsid w:val="00E249D7"/>
    <w:rsid w:val="00E25783"/>
    <w:rsid w:val="00E25873"/>
    <w:rsid w:val="00E267D7"/>
    <w:rsid w:val="00E26E68"/>
    <w:rsid w:val="00E30D3C"/>
    <w:rsid w:val="00E31ADA"/>
    <w:rsid w:val="00E31DE9"/>
    <w:rsid w:val="00E3238D"/>
    <w:rsid w:val="00E32BE1"/>
    <w:rsid w:val="00E338DE"/>
    <w:rsid w:val="00E33D7C"/>
    <w:rsid w:val="00E35308"/>
    <w:rsid w:val="00E35CB4"/>
    <w:rsid w:val="00E368F1"/>
    <w:rsid w:val="00E42319"/>
    <w:rsid w:val="00E42D60"/>
    <w:rsid w:val="00E42F6D"/>
    <w:rsid w:val="00E436A8"/>
    <w:rsid w:val="00E439E4"/>
    <w:rsid w:val="00E44205"/>
    <w:rsid w:val="00E44A11"/>
    <w:rsid w:val="00E45DB4"/>
    <w:rsid w:val="00E47899"/>
    <w:rsid w:val="00E479C2"/>
    <w:rsid w:val="00E47C22"/>
    <w:rsid w:val="00E47F87"/>
    <w:rsid w:val="00E5068C"/>
    <w:rsid w:val="00E510A7"/>
    <w:rsid w:val="00E53D8D"/>
    <w:rsid w:val="00E5414D"/>
    <w:rsid w:val="00E54AC4"/>
    <w:rsid w:val="00E55269"/>
    <w:rsid w:val="00E555C4"/>
    <w:rsid w:val="00E55738"/>
    <w:rsid w:val="00E55E5E"/>
    <w:rsid w:val="00E56F3C"/>
    <w:rsid w:val="00E6005B"/>
    <w:rsid w:val="00E6024A"/>
    <w:rsid w:val="00E60865"/>
    <w:rsid w:val="00E6090B"/>
    <w:rsid w:val="00E60ACB"/>
    <w:rsid w:val="00E61F75"/>
    <w:rsid w:val="00E62B42"/>
    <w:rsid w:val="00E62D6C"/>
    <w:rsid w:val="00E63647"/>
    <w:rsid w:val="00E63888"/>
    <w:rsid w:val="00E63C70"/>
    <w:rsid w:val="00E65FCF"/>
    <w:rsid w:val="00E6621D"/>
    <w:rsid w:val="00E66A90"/>
    <w:rsid w:val="00E66CE3"/>
    <w:rsid w:val="00E66CF2"/>
    <w:rsid w:val="00E67201"/>
    <w:rsid w:val="00E70BC4"/>
    <w:rsid w:val="00E70EAB"/>
    <w:rsid w:val="00E712E8"/>
    <w:rsid w:val="00E71A95"/>
    <w:rsid w:val="00E7205F"/>
    <w:rsid w:val="00E727B2"/>
    <w:rsid w:val="00E73275"/>
    <w:rsid w:val="00E74883"/>
    <w:rsid w:val="00E74B85"/>
    <w:rsid w:val="00E75003"/>
    <w:rsid w:val="00E75903"/>
    <w:rsid w:val="00E762C8"/>
    <w:rsid w:val="00E76F7E"/>
    <w:rsid w:val="00E77543"/>
    <w:rsid w:val="00E775EB"/>
    <w:rsid w:val="00E8016D"/>
    <w:rsid w:val="00E80F7B"/>
    <w:rsid w:val="00E818A2"/>
    <w:rsid w:val="00E81A5C"/>
    <w:rsid w:val="00E82888"/>
    <w:rsid w:val="00E82D9C"/>
    <w:rsid w:val="00E837EF"/>
    <w:rsid w:val="00E869B7"/>
    <w:rsid w:val="00E87A9A"/>
    <w:rsid w:val="00E90083"/>
    <w:rsid w:val="00E90245"/>
    <w:rsid w:val="00E902E6"/>
    <w:rsid w:val="00E91B9E"/>
    <w:rsid w:val="00E934FF"/>
    <w:rsid w:val="00E93EC9"/>
    <w:rsid w:val="00E955C4"/>
    <w:rsid w:val="00E96024"/>
    <w:rsid w:val="00E96254"/>
    <w:rsid w:val="00E96891"/>
    <w:rsid w:val="00E97343"/>
    <w:rsid w:val="00E97A66"/>
    <w:rsid w:val="00EA05BE"/>
    <w:rsid w:val="00EA0B8F"/>
    <w:rsid w:val="00EA18FE"/>
    <w:rsid w:val="00EA2F4B"/>
    <w:rsid w:val="00EA30C3"/>
    <w:rsid w:val="00EA321D"/>
    <w:rsid w:val="00EA4396"/>
    <w:rsid w:val="00EA4447"/>
    <w:rsid w:val="00EA4C79"/>
    <w:rsid w:val="00EA4FB8"/>
    <w:rsid w:val="00EA5302"/>
    <w:rsid w:val="00EA5509"/>
    <w:rsid w:val="00EA57CD"/>
    <w:rsid w:val="00EA5C5D"/>
    <w:rsid w:val="00EA5CF5"/>
    <w:rsid w:val="00EA7C40"/>
    <w:rsid w:val="00EB031D"/>
    <w:rsid w:val="00EB1278"/>
    <w:rsid w:val="00EB22CC"/>
    <w:rsid w:val="00EB347A"/>
    <w:rsid w:val="00EB3566"/>
    <w:rsid w:val="00EB4436"/>
    <w:rsid w:val="00EB4F05"/>
    <w:rsid w:val="00EB5672"/>
    <w:rsid w:val="00EB5C96"/>
    <w:rsid w:val="00EB672B"/>
    <w:rsid w:val="00EB6F19"/>
    <w:rsid w:val="00EB7067"/>
    <w:rsid w:val="00EB7699"/>
    <w:rsid w:val="00EB78DB"/>
    <w:rsid w:val="00EB7B46"/>
    <w:rsid w:val="00EC0E2F"/>
    <w:rsid w:val="00EC1251"/>
    <w:rsid w:val="00EC1CE1"/>
    <w:rsid w:val="00EC2832"/>
    <w:rsid w:val="00EC4407"/>
    <w:rsid w:val="00EC4450"/>
    <w:rsid w:val="00EC4CCA"/>
    <w:rsid w:val="00EC5DCF"/>
    <w:rsid w:val="00EC75CA"/>
    <w:rsid w:val="00ED01FC"/>
    <w:rsid w:val="00ED0DB2"/>
    <w:rsid w:val="00ED0F1B"/>
    <w:rsid w:val="00ED17F2"/>
    <w:rsid w:val="00ED2223"/>
    <w:rsid w:val="00ED2D0D"/>
    <w:rsid w:val="00ED39F5"/>
    <w:rsid w:val="00ED3A8A"/>
    <w:rsid w:val="00ED3C0D"/>
    <w:rsid w:val="00ED3CD4"/>
    <w:rsid w:val="00ED4169"/>
    <w:rsid w:val="00ED41EC"/>
    <w:rsid w:val="00ED64D6"/>
    <w:rsid w:val="00ED712A"/>
    <w:rsid w:val="00ED7304"/>
    <w:rsid w:val="00EE08DD"/>
    <w:rsid w:val="00EE13EE"/>
    <w:rsid w:val="00EE2622"/>
    <w:rsid w:val="00EE2BF7"/>
    <w:rsid w:val="00EE310B"/>
    <w:rsid w:val="00EE3BF9"/>
    <w:rsid w:val="00EE3D8D"/>
    <w:rsid w:val="00EE4639"/>
    <w:rsid w:val="00EE6F13"/>
    <w:rsid w:val="00EF1020"/>
    <w:rsid w:val="00EF1681"/>
    <w:rsid w:val="00EF28F0"/>
    <w:rsid w:val="00EF2FD0"/>
    <w:rsid w:val="00EF3911"/>
    <w:rsid w:val="00EF4E68"/>
    <w:rsid w:val="00EF51CC"/>
    <w:rsid w:val="00EF6ACD"/>
    <w:rsid w:val="00EF76FC"/>
    <w:rsid w:val="00EF7A88"/>
    <w:rsid w:val="00F0089A"/>
    <w:rsid w:val="00F008C6"/>
    <w:rsid w:val="00F01271"/>
    <w:rsid w:val="00F01C9D"/>
    <w:rsid w:val="00F01E4D"/>
    <w:rsid w:val="00F01E7C"/>
    <w:rsid w:val="00F025CF"/>
    <w:rsid w:val="00F02F16"/>
    <w:rsid w:val="00F03168"/>
    <w:rsid w:val="00F036B5"/>
    <w:rsid w:val="00F03970"/>
    <w:rsid w:val="00F03AB4"/>
    <w:rsid w:val="00F03AD3"/>
    <w:rsid w:val="00F04C54"/>
    <w:rsid w:val="00F05518"/>
    <w:rsid w:val="00F0557F"/>
    <w:rsid w:val="00F05A89"/>
    <w:rsid w:val="00F05D95"/>
    <w:rsid w:val="00F0674A"/>
    <w:rsid w:val="00F06815"/>
    <w:rsid w:val="00F06B70"/>
    <w:rsid w:val="00F06E13"/>
    <w:rsid w:val="00F07029"/>
    <w:rsid w:val="00F07D34"/>
    <w:rsid w:val="00F1008E"/>
    <w:rsid w:val="00F10619"/>
    <w:rsid w:val="00F10F6C"/>
    <w:rsid w:val="00F11796"/>
    <w:rsid w:val="00F122D9"/>
    <w:rsid w:val="00F122FC"/>
    <w:rsid w:val="00F1260B"/>
    <w:rsid w:val="00F12E4D"/>
    <w:rsid w:val="00F1304B"/>
    <w:rsid w:val="00F13217"/>
    <w:rsid w:val="00F1345C"/>
    <w:rsid w:val="00F1418D"/>
    <w:rsid w:val="00F147FF"/>
    <w:rsid w:val="00F151F6"/>
    <w:rsid w:val="00F15B80"/>
    <w:rsid w:val="00F1652F"/>
    <w:rsid w:val="00F16986"/>
    <w:rsid w:val="00F170BC"/>
    <w:rsid w:val="00F175D3"/>
    <w:rsid w:val="00F20698"/>
    <w:rsid w:val="00F22F03"/>
    <w:rsid w:val="00F2484B"/>
    <w:rsid w:val="00F2537F"/>
    <w:rsid w:val="00F25DCD"/>
    <w:rsid w:val="00F269FA"/>
    <w:rsid w:val="00F272F4"/>
    <w:rsid w:val="00F27A12"/>
    <w:rsid w:val="00F27F4A"/>
    <w:rsid w:val="00F3022F"/>
    <w:rsid w:val="00F31092"/>
    <w:rsid w:val="00F31773"/>
    <w:rsid w:val="00F329BF"/>
    <w:rsid w:val="00F340BE"/>
    <w:rsid w:val="00F3427F"/>
    <w:rsid w:val="00F352D4"/>
    <w:rsid w:val="00F35BEE"/>
    <w:rsid w:val="00F360E6"/>
    <w:rsid w:val="00F36273"/>
    <w:rsid w:val="00F36666"/>
    <w:rsid w:val="00F37922"/>
    <w:rsid w:val="00F40A94"/>
    <w:rsid w:val="00F40F41"/>
    <w:rsid w:val="00F4168D"/>
    <w:rsid w:val="00F4340E"/>
    <w:rsid w:val="00F43526"/>
    <w:rsid w:val="00F43BC0"/>
    <w:rsid w:val="00F43FC1"/>
    <w:rsid w:val="00F4400F"/>
    <w:rsid w:val="00F442C0"/>
    <w:rsid w:val="00F44C7A"/>
    <w:rsid w:val="00F45421"/>
    <w:rsid w:val="00F45438"/>
    <w:rsid w:val="00F4595C"/>
    <w:rsid w:val="00F46C8B"/>
    <w:rsid w:val="00F46DE5"/>
    <w:rsid w:val="00F47697"/>
    <w:rsid w:val="00F479CB"/>
    <w:rsid w:val="00F50753"/>
    <w:rsid w:val="00F522AB"/>
    <w:rsid w:val="00F522C1"/>
    <w:rsid w:val="00F524F8"/>
    <w:rsid w:val="00F526D1"/>
    <w:rsid w:val="00F53437"/>
    <w:rsid w:val="00F536B1"/>
    <w:rsid w:val="00F53C08"/>
    <w:rsid w:val="00F53D3F"/>
    <w:rsid w:val="00F53DD7"/>
    <w:rsid w:val="00F54F48"/>
    <w:rsid w:val="00F5580C"/>
    <w:rsid w:val="00F55FB0"/>
    <w:rsid w:val="00F564E9"/>
    <w:rsid w:val="00F56814"/>
    <w:rsid w:val="00F56871"/>
    <w:rsid w:val="00F56AC8"/>
    <w:rsid w:val="00F57118"/>
    <w:rsid w:val="00F57547"/>
    <w:rsid w:val="00F57D7E"/>
    <w:rsid w:val="00F57EA5"/>
    <w:rsid w:val="00F60634"/>
    <w:rsid w:val="00F60B74"/>
    <w:rsid w:val="00F60EA1"/>
    <w:rsid w:val="00F6130E"/>
    <w:rsid w:val="00F61425"/>
    <w:rsid w:val="00F62958"/>
    <w:rsid w:val="00F63335"/>
    <w:rsid w:val="00F637F0"/>
    <w:rsid w:val="00F6432E"/>
    <w:rsid w:val="00F6506F"/>
    <w:rsid w:val="00F66384"/>
    <w:rsid w:val="00F66748"/>
    <w:rsid w:val="00F674F3"/>
    <w:rsid w:val="00F67795"/>
    <w:rsid w:val="00F70DC3"/>
    <w:rsid w:val="00F714CC"/>
    <w:rsid w:val="00F71569"/>
    <w:rsid w:val="00F725BD"/>
    <w:rsid w:val="00F72F23"/>
    <w:rsid w:val="00F7319C"/>
    <w:rsid w:val="00F7349A"/>
    <w:rsid w:val="00F737B3"/>
    <w:rsid w:val="00F73839"/>
    <w:rsid w:val="00F73E44"/>
    <w:rsid w:val="00F75514"/>
    <w:rsid w:val="00F75CC8"/>
    <w:rsid w:val="00F773A7"/>
    <w:rsid w:val="00F77743"/>
    <w:rsid w:val="00F77FE1"/>
    <w:rsid w:val="00F802AA"/>
    <w:rsid w:val="00F8087A"/>
    <w:rsid w:val="00F80FCD"/>
    <w:rsid w:val="00F823C1"/>
    <w:rsid w:val="00F83914"/>
    <w:rsid w:val="00F843DA"/>
    <w:rsid w:val="00F853A2"/>
    <w:rsid w:val="00F856D8"/>
    <w:rsid w:val="00F87256"/>
    <w:rsid w:val="00F873FD"/>
    <w:rsid w:val="00F876A1"/>
    <w:rsid w:val="00F87D26"/>
    <w:rsid w:val="00F90BDC"/>
    <w:rsid w:val="00F91CC7"/>
    <w:rsid w:val="00F91DFD"/>
    <w:rsid w:val="00F91FA5"/>
    <w:rsid w:val="00F92129"/>
    <w:rsid w:val="00F92738"/>
    <w:rsid w:val="00F930F8"/>
    <w:rsid w:val="00F943F2"/>
    <w:rsid w:val="00F961B1"/>
    <w:rsid w:val="00F96DD9"/>
    <w:rsid w:val="00F972EC"/>
    <w:rsid w:val="00FA0182"/>
    <w:rsid w:val="00FA0E24"/>
    <w:rsid w:val="00FA188E"/>
    <w:rsid w:val="00FA2170"/>
    <w:rsid w:val="00FA2E9E"/>
    <w:rsid w:val="00FA30E2"/>
    <w:rsid w:val="00FA4928"/>
    <w:rsid w:val="00FA5749"/>
    <w:rsid w:val="00FA6B33"/>
    <w:rsid w:val="00FA7057"/>
    <w:rsid w:val="00FA7EAC"/>
    <w:rsid w:val="00FB1EA1"/>
    <w:rsid w:val="00FB2035"/>
    <w:rsid w:val="00FB2B3E"/>
    <w:rsid w:val="00FB2D24"/>
    <w:rsid w:val="00FB3B03"/>
    <w:rsid w:val="00FB3CA3"/>
    <w:rsid w:val="00FB457E"/>
    <w:rsid w:val="00FB520C"/>
    <w:rsid w:val="00FB52E4"/>
    <w:rsid w:val="00FB5C6A"/>
    <w:rsid w:val="00FB6DC8"/>
    <w:rsid w:val="00FC05BD"/>
    <w:rsid w:val="00FC081E"/>
    <w:rsid w:val="00FC0DC8"/>
    <w:rsid w:val="00FC1A75"/>
    <w:rsid w:val="00FC2136"/>
    <w:rsid w:val="00FC2843"/>
    <w:rsid w:val="00FC2A08"/>
    <w:rsid w:val="00FC2F8D"/>
    <w:rsid w:val="00FC3604"/>
    <w:rsid w:val="00FC3D0D"/>
    <w:rsid w:val="00FC3E39"/>
    <w:rsid w:val="00FC46DA"/>
    <w:rsid w:val="00FC55A6"/>
    <w:rsid w:val="00FC5D64"/>
    <w:rsid w:val="00FC64A6"/>
    <w:rsid w:val="00FC6EED"/>
    <w:rsid w:val="00FC706C"/>
    <w:rsid w:val="00FC7B51"/>
    <w:rsid w:val="00FD007E"/>
    <w:rsid w:val="00FD2158"/>
    <w:rsid w:val="00FD2FF6"/>
    <w:rsid w:val="00FD3143"/>
    <w:rsid w:val="00FD327C"/>
    <w:rsid w:val="00FD367B"/>
    <w:rsid w:val="00FD50F3"/>
    <w:rsid w:val="00FD5C66"/>
    <w:rsid w:val="00FD6038"/>
    <w:rsid w:val="00FD60F9"/>
    <w:rsid w:val="00FD6C7A"/>
    <w:rsid w:val="00FE08CE"/>
    <w:rsid w:val="00FE2485"/>
    <w:rsid w:val="00FE2B59"/>
    <w:rsid w:val="00FE496F"/>
    <w:rsid w:val="00FE53BD"/>
    <w:rsid w:val="00FE54CD"/>
    <w:rsid w:val="00FE67A9"/>
    <w:rsid w:val="00FE7053"/>
    <w:rsid w:val="00FE7086"/>
    <w:rsid w:val="00FE73A2"/>
    <w:rsid w:val="00FE7E49"/>
    <w:rsid w:val="00FF0F80"/>
    <w:rsid w:val="00FF115B"/>
    <w:rsid w:val="00FF15AB"/>
    <w:rsid w:val="00FF1B9C"/>
    <w:rsid w:val="00FF1C41"/>
    <w:rsid w:val="00FF22A8"/>
    <w:rsid w:val="00FF30E7"/>
    <w:rsid w:val="00FF4A1B"/>
    <w:rsid w:val="00FF4EA0"/>
    <w:rsid w:val="00FF506A"/>
    <w:rsid w:val="00FF5F0D"/>
    <w:rsid w:val="00FF6698"/>
    <w:rsid w:val="00FF730F"/>
    <w:rsid w:val="00FF74EC"/>
    <w:rsid w:val="00FF74F1"/>
    <w:rsid w:val="0113713F"/>
    <w:rsid w:val="01813980"/>
    <w:rsid w:val="02BC34C0"/>
    <w:rsid w:val="03704F5A"/>
    <w:rsid w:val="03E826C3"/>
    <w:rsid w:val="0583284C"/>
    <w:rsid w:val="05DD3C3A"/>
    <w:rsid w:val="06140B04"/>
    <w:rsid w:val="07362746"/>
    <w:rsid w:val="07493951"/>
    <w:rsid w:val="07C363C9"/>
    <w:rsid w:val="08675B8D"/>
    <w:rsid w:val="089E04C7"/>
    <w:rsid w:val="08CB1A13"/>
    <w:rsid w:val="08CC0B36"/>
    <w:rsid w:val="08F32EB9"/>
    <w:rsid w:val="0A314A54"/>
    <w:rsid w:val="0A91611E"/>
    <w:rsid w:val="0B1433F9"/>
    <w:rsid w:val="0BAD2150"/>
    <w:rsid w:val="0C2111E1"/>
    <w:rsid w:val="0C2D28BD"/>
    <w:rsid w:val="0C6329E1"/>
    <w:rsid w:val="0C986D22"/>
    <w:rsid w:val="0CB75F2D"/>
    <w:rsid w:val="0D267052"/>
    <w:rsid w:val="0D3A2F2A"/>
    <w:rsid w:val="0D577442"/>
    <w:rsid w:val="0E3D6469"/>
    <w:rsid w:val="0EBC3CA2"/>
    <w:rsid w:val="0ECD4706"/>
    <w:rsid w:val="0FE36120"/>
    <w:rsid w:val="1097779B"/>
    <w:rsid w:val="11376963"/>
    <w:rsid w:val="1146629A"/>
    <w:rsid w:val="11966495"/>
    <w:rsid w:val="12696FD0"/>
    <w:rsid w:val="130F2D15"/>
    <w:rsid w:val="131D09B7"/>
    <w:rsid w:val="1324730C"/>
    <w:rsid w:val="133F22BF"/>
    <w:rsid w:val="136A7A5D"/>
    <w:rsid w:val="141B02A3"/>
    <w:rsid w:val="154715A3"/>
    <w:rsid w:val="155E6A6F"/>
    <w:rsid w:val="158859CA"/>
    <w:rsid w:val="1624495A"/>
    <w:rsid w:val="19384C1B"/>
    <w:rsid w:val="195D43EA"/>
    <w:rsid w:val="19885AFD"/>
    <w:rsid w:val="199D7ECD"/>
    <w:rsid w:val="19D07A7D"/>
    <w:rsid w:val="1C946D0F"/>
    <w:rsid w:val="1C960C26"/>
    <w:rsid w:val="1DA61275"/>
    <w:rsid w:val="1DB51341"/>
    <w:rsid w:val="1E6D2ECE"/>
    <w:rsid w:val="1F6432A8"/>
    <w:rsid w:val="1F975409"/>
    <w:rsid w:val="1FC32E75"/>
    <w:rsid w:val="1FF43A80"/>
    <w:rsid w:val="20DB2873"/>
    <w:rsid w:val="21AE0854"/>
    <w:rsid w:val="220366EB"/>
    <w:rsid w:val="22A254F3"/>
    <w:rsid w:val="22AC460D"/>
    <w:rsid w:val="241D61E5"/>
    <w:rsid w:val="245E447B"/>
    <w:rsid w:val="26BD737D"/>
    <w:rsid w:val="27825E28"/>
    <w:rsid w:val="27F4272A"/>
    <w:rsid w:val="29450E96"/>
    <w:rsid w:val="298B7C81"/>
    <w:rsid w:val="29AF2D1A"/>
    <w:rsid w:val="2A987C29"/>
    <w:rsid w:val="2AE4676C"/>
    <w:rsid w:val="2BAA33E1"/>
    <w:rsid w:val="2C7D035E"/>
    <w:rsid w:val="2CAF4725"/>
    <w:rsid w:val="2DE206A6"/>
    <w:rsid w:val="2E16362A"/>
    <w:rsid w:val="2E503578"/>
    <w:rsid w:val="2F0976B7"/>
    <w:rsid w:val="2F4924BB"/>
    <w:rsid w:val="31E371D6"/>
    <w:rsid w:val="322C45CD"/>
    <w:rsid w:val="32EA0C4C"/>
    <w:rsid w:val="332303B4"/>
    <w:rsid w:val="33826B90"/>
    <w:rsid w:val="345B5A48"/>
    <w:rsid w:val="346440B5"/>
    <w:rsid w:val="347620B0"/>
    <w:rsid w:val="34910B78"/>
    <w:rsid w:val="34B06202"/>
    <w:rsid w:val="34D43B1D"/>
    <w:rsid w:val="35D4520B"/>
    <w:rsid w:val="365E4F86"/>
    <w:rsid w:val="37500966"/>
    <w:rsid w:val="381A5D7E"/>
    <w:rsid w:val="38873174"/>
    <w:rsid w:val="38B7163B"/>
    <w:rsid w:val="38F524E2"/>
    <w:rsid w:val="397D1E08"/>
    <w:rsid w:val="3A194B57"/>
    <w:rsid w:val="3B2003EC"/>
    <w:rsid w:val="3B8579E9"/>
    <w:rsid w:val="3B8F66DE"/>
    <w:rsid w:val="3BE67441"/>
    <w:rsid w:val="3D3E5E9F"/>
    <w:rsid w:val="3D88102C"/>
    <w:rsid w:val="3DE50185"/>
    <w:rsid w:val="3EFD3CFE"/>
    <w:rsid w:val="3F1144C5"/>
    <w:rsid w:val="3F594FC7"/>
    <w:rsid w:val="3FA57AB0"/>
    <w:rsid w:val="3FCA0B6B"/>
    <w:rsid w:val="40253E1E"/>
    <w:rsid w:val="404E6514"/>
    <w:rsid w:val="405A2940"/>
    <w:rsid w:val="41924A6C"/>
    <w:rsid w:val="4216622D"/>
    <w:rsid w:val="43786C1D"/>
    <w:rsid w:val="443F16AB"/>
    <w:rsid w:val="452746F6"/>
    <w:rsid w:val="466B0EE9"/>
    <w:rsid w:val="47005630"/>
    <w:rsid w:val="475543AC"/>
    <w:rsid w:val="47E5020A"/>
    <w:rsid w:val="48BA26F4"/>
    <w:rsid w:val="4C466752"/>
    <w:rsid w:val="4D5C61AE"/>
    <w:rsid w:val="4DBF605C"/>
    <w:rsid w:val="50693285"/>
    <w:rsid w:val="50713C6C"/>
    <w:rsid w:val="50AC501C"/>
    <w:rsid w:val="51414BCB"/>
    <w:rsid w:val="516E14A2"/>
    <w:rsid w:val="517C3865"/>
    <w:rsid w:val="51E96B83"/>
    <w:rsid w:val="527E6DAF"/>
    <w:rsid w:val="533D0610"/>
    <w:rsid w:val="539958A0"/>
    <w:rsid w:val="540A6229"/>
    <w:rsid w:val="546B6809"/>
    <w:rsid w:val="54740805"/>
    <w:rsid w:val="555222D6"/>
    <w:rsid w:val="55F277EE"/>
    <w:rsid w:val="575C2098"/>
    <w:rsid w:val="57931D49"/>
    <w:rsid w:val="57C22F96"/>
    <w:rsid w:val="57FA09EA"/>
    <w:rsid w:val="581C3D29"/>
    <w:rsid w:val="582063DB"/>
    <w:rsid w:val="58B527F5"/>
    <w:rsid w:val="58EA5349"/>
    <w:rsid w:val="5A1C79FA"/>
    <w:rsid w:val="5A6F6443"/>
    <w:rsid w:val="5ADA4AD9"/>
    <w:rsid w:val="5BFE2E2F"/>
    <w:rsid w:val="5C5572DF"/>
    <w:rsid w:val="5CE5392A"/>
    <w:rsid w:val="5D8A0858"/>
    <w:rsid w:val="5E3C6765"/>
    <w:rsid w:val="60153B68"/>
    <w:rsid w:val="60386CDD"/>
    <w:rsid w:val="60BB7053"/>
    <w:rsid w:val="616E1280"/>
    <w:rsid w:val="61BD37FE"/>
    <w:rsid w:val="62CE01DE"/>
    <w:rsid w:val="63624C44"/>
    <w:rsid w:val="647E12DA"/>
    <w:rsid w:val="64AC191C"/>
    <w:rsid w:val="662C4B64"/>
    <w:rsid w:val="662D386B"/>
    <w:rsid w:val="668F4EF5"/>
    <w:rsid w:val="66C12157"/>
    <w:rsid w:val="66EE4CF7"/>
    <w:rsid w:val="686825D0"/>
    <w:rsid w:val="68A62BEF"/>
    <w:rsid w:val="6A827DD6"/>
    <w:rsid w:val="6AA940DF"/>
    <w:rsid w:val="6B712453"/>
    <w:rsid w:val="6B994A01"/>
    <w:rsid w:val="6C063B5F"/>
    <w:rsid w:val="6C632BBF"/>
    <w:rsid w:val="6C707A81"/>
    <w:rsid w:val="6CED5C73"/>
    <w:rsid w:val="6D4506D4"/>
    <w:rsid w:val="6DCF5043"/>
    <w:rsid w:val="6DD7734D"/>
    <w:rsid w:val="70CB3EDD"/>
    <w:rsid w:val="70FE6246"/>
    <w:rsid w:val="722D7071"/>
    <w:rsid w:val="726568A0"/>
    <w:rsid w:val="72AF5B37"/>
    <w:rsid w:val="72E534EF"/>
    <w:rsid w:val="741176DA"/>
    <w:rsid w:val="757C3655"/>
    <w:rsid w:val="768D04D8"/>
    <w:rsid w:val="769643A8"/>
    <w:rsid w:val="76EA043E"/>
    <w:rsid w:val="781A7FE0"/>
    <w:rsid w:val="789A4FD8"/>
    <w:rsid w:val="78E715B3"/>
    <w:rsid w:val="79A67953"/>
    <w:rsid w:val="7A455375"/>
    <w:rsid w:val="7D915FBF"/>
    <w:rsid w:val="7ED774C5"/>
    <w:rsid w:val="7EF41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22"/>
    <w:qFormat/>
    <w:uiPriority w:val="9"/>
    <w:pPr>
      <w:keepNext/>
      <w:keepLines/>
      <w:spacing w:before="120" w:after="120" w:line="480" w:lineRule="auto"/>
      <w:outlineLvl w:val="0"/>
    </w:pPr>
    <w:rPr>
      <w:rFonts w:ascii="Times New Roman" w:hAnsi="Times New Roman" w:cs="Times New Roman"/>
      <w:b/>
      <w:bCs/>
      <w:kern w:val="44"/>
      <w:sz w:val="32"/>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imes New Roman" w:hAnsi="Times New Roman" w:cstheme="majorBidi"/>
      <w:b/>
      <w:bCs/>
      <w:szCs w:val="32"/>
    </w:rPr>
  </w:style>
  <w:style w:type="character" w:default="1" w:styleId="18">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caption"/>
    <w:basedOn w:val="1"/>
    <w:next w:val="1"/>
    <w:link w:val="39"/>
    <w:unhideWhenUsed/>
    <w:qFormat/>
    <w:uiPriority w:val="0"/>
    <w:rPr>
      <w:rFonts w:eastAsia="黑体" w:asciiTheme="majorHAnsi" w:hAnsiTheme="majorHAnsi" w:cstheme="majorBidi"/>
      <w:sz w:val="20"/>
      <w:szCs w:val="20"/>
    </w:rPr>
  </w:style>
  <w:style w:type="paragraph" w:styleId="5">
    <w:name w:val="Document Map"/>
    <w:basedOn w:val="1"/>
    <w:link w:val="32"/>
    <w:semiHidden/>
    <w:unhideWhenUsed/>
    <w:qFormat/>
    <w:uiPriority w:val="99"/>
    <w:rPr>
      <w:rFonts w:ascii="宋体" w:eastAsia="宋体"/>
      <w:sz w:val="18"/>
      <w:szCs w:val="18"/>
    </w:rPr>
  </w:style>
  <w:style w:type="paragraph" w:styleId="6">
    <w:name w:val="annotation text"/>
    <w:basedOn w:val="1"/>
    <w:link w:val="33"/>
    <w:semiHidden/>
    <w:unhideWhenUsed/>
    <w:uiPriority w:val="99"/>
    <w:pPr>
      <w:jc w:val="left"/>
    </w:pPr>
  </w:style>
  <w:style w:type="paragraph" w:styleId="7">
    <w:name w:val="toc 3"/>
    <w:basedOn w:val="1"/>
    <w:next w:val="1"/>
    <w:unhideWhenUsed/>
    <w:qFormat/>
    <w:uiPriority w:val="39"/>
    <w:pPr>
      <w:widowControl/>
      <w:spacing w:after="100" w:line="259" w:lineRule="auto"/>
      <w:ind w:left="440"/>
      <w:jc w:val="left"/>
    </w:pPr>
    <w:rPr>
      <w:rFonts w:cs="Times New Roman" w:eastAsiaTheme="minorEastAsia"/>
      <w:kern w:val="0"/>
      <w:sz w:val="22"/>
    </w:rPr>
  </w:style>
  <w:style w:type="paragraph" w:styleId="8">
    <w:name w:val="Balloon Text"/>
    <w:basedOn w:val="1"/>
    <w:link w:val="29"/>
    <w:semiHidden/>
    <w:unhideWhenUsed/>
    <w:qFormat/>
    <w:uiPriority w:val="99"/>
    <w:rPr>
      <w:sz w:val="18"/>
      <w:szCs w:val="18"/>
    </w:rPr>
  </w:style>
  <w:style w:type="paragraph" w:styleId="9">
    <w:name w:val="footer"/>
    <w:basedOn w:val="1"/>
    <w:link w:val="31"/>
    <w:unhideWhenUsed/>
    <w:qFormat/>
    <w:uiPriority w:val="99"/>
    <w:pPr>
      <w:tabs>
        <w:tab w:val="center" w:pos="4153"/>
        <w:tab w:val="right" w:pos="8306"/>
      </w:tabs>
      <w:snapToGrid w:val="0"/>
      <w:jc w:val="left"/>
    </w:pPr>
    <w:rPr>
      <w:sz w:val="18"/>
      <w:szCs w:val="18"/>
    </w:rPr>
  </w:style>
  <w:style w:type="paragraph" w:styleId="10">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left" w:pos="355"/>
        <w:tab w:val="right" w:leader="dot" w:pos="8296"/>
      </w:tabs>
      <w:spacing w:line="440" w:lineRule="exact"/>
      <w:jc w:val="center"/>
    </w:pPr>
    <w:rPr>
      <w:rFonts w:ascii="Times New Roman" w:hAnsi="Times New Roman" w:cs="Helvetica"/>
      <w:b/>
      <w:bCs/>
      <w:kern w:val="44"/>
      <w:szCs w:val="28"/>
      <w:shd w:val="clear" w:color="auto" w:fill="FFFFFF"/>
    </w:rPr>
  </w:style>
  <w:style w:type="paragraph" w:styleId="12">
    <w:name w:val="toc 2"/>
    <w:basedOn w:val="1"/>
    <w:next w:val="1"/>
    <w:unhideWhenUsed/>
    <w:qFormat/>
    <w:uiPriority w:val="39"/>
    <w:pPr>
      <w:tabs>
        <w:tab w:val="right" w:leader="dot" w:pos="8296"/>
      </w:tabs>
      <w:spacing w:line="480" w:lineRule="exact"/>
      <w:ind w:left="560" w:leftChars="200"/>
    </w:pPr>
    <w:rPr>
      <w:rFonts w:ascii="Times New Roman" w:hAnsi="Calibri" w:cs="Times New Roman"/>
      <w:bCs/>
      <w:kern w:val="44"/>
      <w:szCs w:val="28"/>
    </w:rPr>
  </w:style>
  <w:style w:type="paragraph" w:styleId="13">
    <w:name w:val="Normal (Web)"/>
    <w:basedOn w:val="1"/>
    <w:semiHidden/>
    <w:unhideWhenUsed/>
    <w:qFormat/>
    <w:uiPriority w:val="99"/>
    <w:pPr>
      <w:spacing w:beforeAutospacing="1" w:afterAutospacing="1"/>
      <w:jc w:val="left"/>
    </w:pPr>
    <w:rPr>
      <w:rFonts w:cs="Times New Roman"/>
      <w:kern w:val="0"/>
      <w:sz w:val="24"/>
    </w:rPr>
  </w:style>
  <w:style w:type="paragraph" w:styleId="14">
    <w:name w:val="annotation subject"/>
    <w:basedOn w:val="6"/>
    <w:next w:val="6"/>
    <w:link w:val="34"/>
    <w:semiHidden/>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7">
    <w:name w:val="Light List Accent 1"/>
    <w:basedOn w:val="15"/>
    <w:qFormat/>
    <w:uiPriority w:val="61"/>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character" w:styleId="19">
    <w:name w:val="Strong"/>
    <w:basedOn w:val="18"/>
    <w:qFormat/>
    <w:uiPriority w:val="22"/>
    <w:rPr>
      <w:b/>
      <w:bCs/>
    </w:rPr>
  </w:style>
  <w:style w:type="character" w:styleId="20">
    <w:name w:val="Hyperlink"/>
    <w:unhideWhenUsed/>
    <w:qFormat/>
    <w:uiPriority w:val="99"/>
    <w:rPr>
      <w:color w:val="0000FF"/>
      <w:u w:val="single"/>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9"/>
    <w:rPr>
      <w:rFonts w:ascii="Times New Roman" w:hAnsi="Times New Roman" w:eastAsia="仿宋_GB2312" w:cs="Times New Roman"/>
      <w:b/>
      <w:bCs/>
      <w:kern w:val="44"/>
      <w:sz w:val="32"/>
      <w:szCs w:val="44"/>
    </w:rPr>
  </w:style>
  <w:style w:type="paragraph" w:styleId="23">
    <w:name w:val="List Paragraph"/>
    <w:basedOn w:val="1"/>
    <w:qFormat/>
    <w:uiPriority w:val="34"/>
    <w:pPr>
      <w:ind w:firstLine="420" w:firstLineChars="200"/>
    </w:pPr>
  </w:style>
  <w:style w:type="character" w:customStyle="1" w:styleId="24">
    <w:name w:val="标题 2 字符"/>
    <w:basedOn w:val="18"/>
    <w:link w:val="3"/>
    <w:qFormat/>
    <w:uiPriority w:val="9"/>
    <w:rPr>
      <w:rFonts w:ascii="Times New Roman" w:hAnsi="Times New Roman" w:eastAsia="仿宋_GB2312" w:cstheme="majorBidi"/>
      <w:b/>
      <w:bCs/>
      <w:sz w:val="28"/>
      <w:szCs w:val="32"/>
    </w:rPr>
  </w:style>
  <w:style w:type="paragraph" w:customStyle="1" w:styleId="25">
    <w:name w:val="样式1"/>
    <w:basedOn w:val="3"/>
    <w:link w:val="27"/>
    <w:qFormat/>
    <w:uiPriority w:val="0"/>
  </w:style>
  <w:style w:type="paragraph" w:customStyle="1" w:styleId="26">
    <w:name w:val="样式2"/>
    <w:basedOn w:val="1"/>
    <w:link w:val="28"/>
    <w:qFormat/>
    <w:uiPriority w:val="0"/>
  </w:style>
  <w:style w:type="character" w:customStyle="1" w:styleId="27">
    <w:name w:val="样式1 字符"/>
    <w:basedOn w:val="24"/>
    <w:link w:val="25"/>
    <w:qFormat/>
    <w:uiPriority w:val="0"/>
    <w:rPr>
      <w:rFonts w:ascii="Times New Roman" w:hAnsi="Times New Roman" w:eastAsia="仿宋_GB2312" w:cstheme="majorBidi"/>
      <w:sz w:val="28"/>
      <w:szCs w:val="32"/>
    </w:rPr>
  </w:style>
  <w:style w:type="character" w:customStyle="1" w:styleId="28">
    <w:name w:val="样式2 字符"/>
    <w:basedOn w:val="18"/>
    <w:link w:val="26"/>
    <w:qFormat/>
    <w:uiPriority w:val="0"/>
    <w:rPr>
      <w:rFonts w:eastAsia="仿宋_GB2312"/>
      <w:sz w:val="28"/>
    </w:rPr>
  </w:style>
  <w:style w:type="character" w:customStyle="1" w:styleId="29">
    <w:name w:val="批注框文本 字符"/>
    <w:basedOn w:val="18"/>
    <w:link w:val="8"/>
    <w:semiHidden/>
    <w:qFormat/>
    <w:uiPriority w:val="99"/>
    <w:rPr>
      <w:rFonts w:eastAsia="仿宋_GB2312"/>
      <w:sz w:val="18"/>
      <w:szCs w:val="18"/>
    </w:rPr>
  </w:style>
  <w:style w:type="character" w:customStyle="1" w:styleId="30">
    <w:name w:val="页眉 字符"/>
    <w:basedOn w:val="18"/>
    <w:link w:val="10"/>
    <w:qFormat/>
    <w:uiPriority w:val="99"/>
    <w:rPr>
      <w:rFonts w:eastAsia="仿宋_GB2312"/>
      <w:sz w:val="18"/>
      <w:szCs w:val="18"/>
    </w:rPr>
  </w:style>
  <w:style w:type="character" w:customStyle="1" w:styleId="31">
    <w:name w:val="页脚 字符"/>
    <w:basedOn w:val="18"/>
    <w:link w:val="9"/>
    <w:qFormat/>
    <w:uiPriority w:val="99"/>
    <w:rPr>
      <w:rFonts w:eastAsia="仿宋_GB2312"/>
      <w:sz w:val="18"/>
      <w:szCs w:val="18"/>
    </w:rPr>
  </w:style>
  <w:style w:type="character" w:customStyle="1" w:styleId="32">
    <w:name w:val="文档结构图 字符"/>
    <w:basedOn w:val="18"/>
    <w:link w:val="5"/>
    <w:semiHidden/>
    <w:qFormat/>
    <w:uiPriority w:val="99"/>
    <w:rPr>
      <w:rFonts w:ascii="宋体" w:eastAsia="宋体"/>
      <w:kern w:val="2"/>
      <w:sz w:val="18"/>
      <w:szCs w:val="18"/>
    </w:rPr>
  </w:style>
  <w:style w:type="character" w:customStyle="1" w:styleId="33">
    <w:name w:val="批注文字 字符"/>
    <w:basedOn w:val="18"/>
    <w:link w:val="6"/>
    <w:semiHidden/>
    <w:qFormat/>
    <w:uiPriority w:val="99"/>
    <w:rPr>
      <w:rFonts w:eastAsia="仿宋_GB2312"/>
      <w:kern w:val="2"/>
      <w:sz w:val="28"/>
      <w:szCs w:val="22"/>
    </w:rPr>
  </w:style>
  <w:style w:type="character" w:customStyle="1" w:styleId="34">
    <w:name w:val="批注主题 字符"/>
    <w:basedOn w:val="33"/>
    <w:link w:val="14"/>
    <w:semiHidden/>
    <w:qFormat/>
    <w:uiPriority w:val="99"/>
    <w:rPr>
      <w:rFonts w:eastAsia="仿宋_GB2312"/>
      <w:b/>
      <w:bCs/>
      <w:kern w:val="2"/>
      <w:sz w:val="28"/>
      <w:szCs w:val="22"/>
    </w:rPr>
  </w:style>
  <w:style w:type="table" w:customStyle="1" w:styleId="35">
    <w:name w:val="浅色列表 - 着色 12"/>
    <w:basedOn w:val="15"/>
    <w:qFormat/>
    <w:uiPriority w:val="61"/>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472C4" w:themeFill="accent1"/>
      </w:tcPr>
    </w:tblStylePr>
    <w:tblStylePr w:type="lastRow">
      <w:pPr>
        <w:spacing w:before="0" w:after="0" w:line="240" w:lineRule="auto"/>
      </w:pPr>
      <w:rPr>
        <w:b/>
        <w:bCs/>
      </w:r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customStyle="1" w:styleId="36">
    <w:name w:val="浅色列表 - 着色 14"/>
    <w:basedOn w:val="15"/>
    <w:qFormat/>
    <w:uiPriority w:val="61"/>
    <w:rPr>
      <w:kern w:val="2"/>
      <w:sz w:val="21"/>
      <w:szCs w:val="22"/>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472C4" w:themeFill="accent1"/>
      </w:tcPr>
    </w:tblStylePr>
    <w:tblStylePr w:type="lastRow">
      <w:pPr>
        <w:spacing w:before="0" w:after="0" w:line="240" w:lineRule="auto"/>
      </w:pPr>
      <w:rPr>
        <w:b/>
        <w:bCs/>
      </w:r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paragraph" w:customStyle="1" w:styleId="37">
    <w:name w:val="图表"/>
    <w:basedOn w:val="1"/>
    <w:qFormat/>
    <w:uiPriority w:val="0"/>
    <w:pPr>
      <w:widowControl/>
      <w:spacing w:line="360" w:lineRule="auto"/>
      <w:jc w:val="center"/>
    </w:pPr>
    <w:rPr>
      <w:rFonts w:ascii="Times New Roman" w:hAnsi="Times New Roman"/>
      <w:b/>
      <w:sz w:val="24"/>
      <w:szCs w:val="24"/>
    </w:rPr>
  </w:style>
  <w:style w:type="table" w:customStyle="1" w:styleId="38">
    <w:name w:val="网格型4"/>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题注 字符"/>
    <w:basedOn w:val="18"/>
    <w:link w:val="4"/>
    <w:qFormat/>
    <w:uiPriority w:val="0"/>
    <w:rPr>
      <w:rFonts w:eastAsia="黑体" w:asciiTheme="majorHAnsi" w:hAnsiTheme="majorHAnsi" w:cstheme="majorBidi"/>
      <w:kern w:val="2"/>
    </w:rPr>
  </w:style>
  <w:style w:type="table" w:customStyle="1" w:styleId="40">
    <w:name w:val="浅色列表 - 强调文字颜色 11"/>
    <w:basedOn w:val="15"/>
    <w:qFormat/>
    <w:uiPriority w:val="61"/>
    <w:rPr>
      <w:kern w:val="2"/>
      <w:sz w:val="21"/>
      <w:szCs w:val="22"/>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472C4" w:themeFill="accent1"/>
      </w:tcPr>
    </w:tblStylePr>
    <w:tblStylePr w:type="lastRow">
      <w:pPr>
        <w:spacing w:before="0" w:after="0" w:line="240" w:lineRule="auto"/>
      </w:pPr>
      <w:rPr>
        <w:b/>
        <w:bCs/>
      </w:r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customStyle="1" w:styleId="41">
    <w:name w:val="清单表 3 - 着色 11"/>
    <w:basedOn w:val="15"/>
    <w:qFormat/>
    <w:uiPriority w:val="48"/>
    <w:rPr>
      <w:kern w:val="2"/>
      <w:sz w:val="21"/>
      <w:szCs w:val="22"/>
    </w:rPr>
    <w:tblPr>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14:textFill>
          <w14:solidFill>
            <w14:schemeClr w14:val="bg1"/>
          </w14:solidFill>
        </w14:textFill>
      </w:rPr>
      <w:tcPr>
        <w:shd w:val="clear" w:color="auto" w:fill="4472C4" w:themeFill="accent1"/>
      </w:tcPr>
    </w:tblStylePr>
    <w:tblStylePr w:type="lastRow">
      <w:rPr>
        <w:b/>
        <w:bCs/>
      </w:rPr>
      <w:tcPr>
        <w:tcBorders>
          <w:top w:val="double" w:color="4472C4"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1" w:sz="4" w:space="0"/>
          <w:right w:val="single" w:color="4472C4" w:themeColor="accent1" w:sz="4" w:space="0"/>
        </w:tcBorders>
      </w:tcPr>
    </w:tblStylePr>
    <w:tblStylePr w:type="band1Horz">
      <w:tcPr>
        <w:tcBorders>
          <w:top w:val="single" w:color="4472C4" w:themeColor="accent1" w:sz="4" w:space="0"/>
          <w:bottom w:val="single" w:color="4472C4"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1" w:sz="4" w:space="0"/>
          <w:left w:val="nil"/>
        </w:tcBorders>
      </w:tcPr>
    </w:tblStylePr>
    <w:tblStylePr w:type="swCell">
      <w:tcPr>
        <w:tcBorders>
          <w:top w:val="double" w:color="4472C4" w:themeColor="accent1" w:sz="4" w:space="0"/>
          <w:right w:val="nil"/>
        </w:tcBorders>
      </w:tcPr>
    </w:tblStylePr>
  </w:style>
  <w:style w:type="paragraph" w:customStyle="1" w:styleId="4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43">
    <w:name w:val="15"/>
    <w:basedOn w:val="18"/>
    <w:qFormat/>
    <w:uiPriority w:val="0"/>
    <w:rPr>
      <w:rFonts w:hint="default" w:ascii="Times New Roman" w:hAnsi="Times New Roman" w:cs="Times New Roman"/>
      <w:color w:val="0000FF"/>
      <w:u w:val="single"/>
    </w:rPr>
  </w:style>
  <w:style w:type="table" w:customStyle="1" w:styleId="44">
    <w:name w:val="浅色列表 - 强调文字颜色 111"/>
    <w:basedOn w:val="15"/>
    <w:qFormat/>
    <w:uiPriority w:val="0"/>
    <w:rPr>
      <w:rFonts w:eastAsia="Times New Roman"/>
      <w:kern w:val="2"/>
      <w:sz w:val="21"/>
      <w:szCs w:val="21"/>
    </w:rPr>
    <w:tblPr>
      <w:tblBorders>
        <w:top w:val="single" w:color="4472C4" w:sz="8" w:space="0"/>
        <w:left w:val="single" w:color="4472C4" w:sz="8" w:space="0"/>
        <w:bottom w:val="single" w:color="4472C4" w:sz="8" w:space="0"/>
        <w:right w:val="single" w:color="4472C4" w:sz="8" w:space="0"/>
      </w:tblBorders>
    </w:tblPr>
    <w:tblStylePr w:type="firstRow">
      <w:rPr>
        <w:rFonts w:hint="default" w:ascii="Times New Roman" w:hAnsi="Times New Roman" w:cs="Times New Roman"/>
        <w:b/>
        <w:bCs/>
        <w:color w:val="FFFFFF"/>
      </w:rPr>
      <w:tcPr>
        <w:shd w:val="clear" w:color="auto" w:fill="4472C4"/>
      </w:tcPr>
    </w:tblStylePr>
    <w:tblStylePr w:type="lastRow">
      <w:rPr>
        <w:rFonts w:hint="default" w:ascii="Times New Roman" w:hAnsi="Times New Roman" w:cs="Times New Roman"/>
        <w:b/>
        <w:bCs/>
      </w:rPr>
      <w:tcPr>
        <w:tcBorders>
          <w:top w:val="double" w:color="4472C4" w:sz="2" w:space="0"/>
          <w:left w:val="single" w:color="4472C4" w:sz="8" w:space="0"/>
          <w:bottom w:val="single" w:color="4472C4" w:sz="8" w:space="0"/>
          <w:right w:val="single" w:color="4472C4" w:sz="8" w:space="0"/>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cPr>
        <w:tcBorders>
          <w:top w:val="single" w:color="4472C4" w:sz="8" w:space="0"/>
          <w:left w:val="single" w:color="4472C4" w:sz="8" w:space="0"/>
          <w:bottom w:val="single" w:color="4472C4" w:sz="8" w:space="0"/>
          <w:right w:val="single" w:color="4472C4" w:sz="8" w:space="0"/>
        </w:tcBorders>
      </w:tcPr>
    </w:tblStylePr>
    <w:tblStylePr w:type="band1Horz">
      <w:tcPr>
        <w:tcBorders>
          <w:top w:val="single" w:color="4472C4" w:sz="8" w:space="0"/>
          <w:left w:val="single" w:color="4472C4" w:sz="8" w:space="0"/>
          <w:bottom w:val="single" w:color="4472C4" w:sz="8" w:space="0"/>
          <w:right w:val="single" w:color="4472C4" w:sz="8" w:space="0"/>
        </w:tcBorders>
      </w:tcPr>
    </w:tblStylePr>
  </w:style>
  <w:style w:type="table" w:customStyle="1" w:styleId="45">
    <w:name w:val="浅色列表 - 强调文字颜色 1111"/>
    <w:qFormat/>
    <w:uiPriority w:val="61"/>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34013;&#33683;.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息烽县!$B$1</c:f>
              <c:strCache>
                <c:ptCount val="1"/>
                <c:pt idx="0">
                  <c:v>地区生产总值（亿元）</c:v>
                </c:pt>
              </c:strCache>
            </c:strRef>
          </c:tx>
          <c:spPr>
            <a:solidFill>
              <a:schemeClr val="accent1"/>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息烽县!$A$2:$A$4</c:f>
              <c:strCache>
                <c:ptCount val="3"/>
                <c:pt idx="0">
                  <c:v>2018年</c:v>
                </c:pt>
                <c:pt idx="1">
                  <c:v>2019年</c:v>
                </c:pt>
                <c:pt idx="2">
                  <c:v>2020年</c:v>
                </c:pt>
              </c:strCache>
            </c:strRef>
          </c:cat>
          <c:val>
            <c:numRef>
              <c:f>息烽县!$B$2:$B$4</c:f>
              <c:numCache>
                <c:formatCode>General</c:formatCode>
                <c:ptCount val="3"/>
                <c:pt idx="0">
                  <c:v>131.69</c:v>
                </c:pt>
                <c:pt idx="1">
                  <c:v>138.05</c:v>
                </c:pt>
                <c:pt idx="2">
                  <c:v>152.8</c:v>
                </c:pt>
              </c:numCache>
            </c:numRef>
          </c:val>
        </c:ser>
        <c:dLbls>
          <c:showLegendKey val="0"/>
          <c:showVal val="1"/>
          <c:showCatName val="0"/>
          <c:showSerName val="0"/>
          <c:showPercent val="0"/>
          <c:showBubbleSize val="0"/>
        </c:dLbls>
        <c:gapWidth val="219"/>
        <c:overlap val="-27"/>
        <c:axId val="1006570703"/>
        <c:axId val="1006571951"/>
      </c:barChart>
      <c:lineChart>
        <c:grouping val="standard"/>
        <c:varyColors val="0"/>
        <c:ser>
          <c:idx val="1"/>
          <c:order val="1"/>
          <c:tx>
            <c:strRef>
              <c:f>息烽县!$C$1</c:f>
              <c:strCache>
                <c:ptCount val="1"/>
                <c:pt idx="0">
                  <c:v>增速（%）</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息烽县!$A$2:$A$4</c:f>
              <c:strCache>
                <c:ptCount val="3"/>
                <c:pt idx="0">
                  <c:v>2018年</c:v>
                </c:pt>
                <c:pt idx="1">
                  <c:v>2019年</c:v>
                </c:pt>
                <c:pt idx="2">
                  <c:v>2020年</c:v>
                </c:pt>
              </c:strCache>
            </c:strRef>
          </c:cat>
          <c:val>
            <c:numRef>
              <c:f>息烽县!$C$2:$C$4</c:f>
              <c:numCache>
                <c:formatCode>0%</c:formatCode>
                <c:ptCount val="3"/>
                <c:pt idx="0">
                  <c:v>0.04</c:v>
                </c:pt>
                <c:pt idx="1" c:formatCode="0.00%">
                  <c:v>0.028</c:v>
                </c:pt>
                <c:pt idx="2" c:formatCode="0.00%">
                  <c:v>0.098</c:v>
                </c:pt>
              </c:numCache>
            </c:numRef>
          </c:val>
          <c:smooth val="0"/>
        </c:ser>
        <c:dLbls>
          <c:showLegendKey val="0"/>
          <c:showVal val="1"/>
          <c:showCatName val="0"/>
          <c:showSerName val="0"/>
          <c:showPercent val="0"/>
          <c:showBubbleSize val="0"/>
        </c:dLbls>
        <c:marker val="0"/>
        <c:smooth val="0"/>
        <c:axId val="1076013775"/>
        <c:axId val="1078915695"/>
      </c:lineChart>
      <c:catAx>
        <c:axId val="100657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6571951"/>
        <c:crosses val="autoZero"/>
        <c:auto val="1"/>
        <c:lblAlgn val="ctr"/>
        <c:lblOffset val="100"/>
        <c:noMultiLvlLbl val="0"/>
      </c:catAx>
      <c:valAx>
        <c:axId val="1006571951"/>
        <c:scaling>
          <c:orientation val="minMax"/>
        </c:scaling>
        <c:delete val="0"/>
        <c:axPos val="l"/>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6570703"/>
        <c:crosses val="autoZero"/>
        <c:crossBetween val="between"/>
      </c:valAx>
      <c:catAx>
        <c:axId val="1076013775"/>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8915695"/>
        <c:crosses val="autoZero"/>
        <c:auto val="1"/>
        <c:lblAlgn val="ctr"/>
        <c:lblOffset val="100"/>
        <c:noMultiLvlLbl val="0"/>
      </c:catAx>
      <c:valAx>
        <c:axId val="1078915695"/>
        <c:scaling>
          <c:orientation val="minMax"/>
        </c:scaling>
        <c:delete val="0"/>
        <c:axPos val="r"/>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6013775"/>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Sheet1!$J$5</c:f>
              <c:strCache>
                <c:ptCount val="1"/>
                <c:pt idx="0">
                  <c:v>种植面积（万公顷）</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Sheet1!$I$6:$I$10</c:f>
              <c:strCache>
                <c:ptCount val="5"/>
                <c:pt idx="0">
                  <c:v>2016年</c:v>
                </c:pt>
                <c:pt idx="1">
                  <c:v>2017年</c:v>
                </c:pt>
                <c:pt idx="2">
                  <c:v>2018年</c:v>
                </c:pt>
                <c:pt idx="3">
                  <c:v>2019年</c:v>
                </c:pt>
                <c:pt idx="4">
                  <c:v>2020年</c:v>
                </c:pt>
              </c:strCache>
            </c:strRef>
          </c:cat>
          <c:val>
            <c:numRef>
              <c:f>Sheet1!$J$6:$J$10</c:f>
              <c:numCache>
                <c:formatCode>General</c:formatCode>
                <c:ptCount val="5"/>
                <c:pt idx="0">
                  <c:v>3</c:v>
                </c:pt>
                <c:pt idx="1">
                  <c:v>4.69</c:v>
                </c:pt>
                <c:pt idx="2">
                  <c:v>5.53</c:v>
                </c:pt>
                <c:pt idx="3">
                  <c:v>6.03</c:v>
                </c:pt>
                <c:pt idx="4">
                  <c:v>6.64</c:v>
                </c:pt>
              </c:numCache>
            </c:numRef>
          </c:val>
        </c:ser>
        <c:dLbls>
          <c:showLegendKey val="0"/>
          <c:showVal val="0"/>
          <c:showCatName val="0"/>
          <c:showSerName val="0"/>
          <c:showPercent val="0"/>
          <c:showBubbleSize val="0"/>
        </c:dLbls>
        <c:gapWidth val="219"/>
        <c:overlap val="-27"/>
        <c:axId val="785563280"/>
        <c:axId val="785563608"/>
      </c:barChart>
      <c:catAx>
        <c:axId val="7855632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608"/>
        <c:crosses val="autoZero"/>
        <c:auto val="1"/>
        <c:lblAlgn val="ctr"/>
        <c:lblOffset val="100"/>
        <c:noMultiLvlLbl val="0"/>
      </c:catAx>
      <c:valAx>
        <c:axId val="785563608"/>
        <c:scaling>
          <c:orientation val="minMax"/>
          <c:min val="0"/>
        </c:scaling>
        <c:delete val="0"/>
        <c:axPos val="l"/>
        <c:numFmt formatCode="0.0_);[Red]\(0.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lang="zh-CN" sz="10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Sheet1!$N$47</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5">
                  <a:lumMod val="40000"/>
                  <a:lumOff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Sheet1!$M$48:$M$56</c:f>
              <c:strCache>
                <c:ptCount val="9"/>
                <c:pt idx="0">
                  <c:v>贵州</c:v>
                </c:pt>
                <c:pt idx="1">
                  <c:v>辽宁</c:v>
                </c:pt>
                <c:pt idx="2">
                  <c:v>山东</c:v>
                </c:pt>
                <c:pt idx="3">
                  <c:v>安徽</c:v>
                </c:pt>
                <c:pt idx="4">
                  <c:v>四川</c:v>
                </c:pt>
                <c:pt idx="5">
                  <c:v>云南</c:v>
                </c:pt>
                <c:pt idx="6">
                  <c:v>吉林</c:v>
                </c:pt>
                <c:pt idx="7">
                  <c:v>湖北</c:v>
                </c:pt>
                <c:pt idx="8">
                  <c:v>其他</c:v>
                </c:pt>
              </c:strCache>
            </c:strRef>
          </c:cat>
          <c:val>
            <c:numRef>
              <c:f>Sheet1!$N$48:$N$56</c:f>
              <c:numCache>
                <c:formatCode>0.0%</c:formatCode>
                <c:ptCount val="9"/>
                <c:pt idx="0">
                  <c:v>0.225903614457831</c:v>
                </c:pt>
                <c:pt idx="1">
                  <c:v>0.117469879518072</c:v>
                </c:pt>
                <c:pt idx="2">
                  <c:v>0.110436746987952</c:v>
                </c:pt>
                <c:pt idx="3">
                  <c:v>0.100406626506024</c:v>
                </c:pt>
                <c:pt idx="4">
                  <c:v>0.100406626506024</c:v>
                </c:pt>
                <c:pt idx="5">
                  <c:v>0.0753012048192771</c:v>
                </c:pt>
                <c:pt idx="6">
                  <c:v>0.0602409638554217</c:v>
                </c:pt>
                <c:pt idx="7">
                  <c:v>0.0401656626506024</c:v>
                </c:pt>
                <c:pt idx="8">
                  <c:v>0.169668674698795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lang="zh-CN" sz="10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Sheet1!$J$81</c:f>
              <c:strCache>
                <c:ptCount val="1"/>
                <c:pt idx="0">
                  <c:v>产量（万吨）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Sheet1!$I$82:$I$86</c:f>
              <c:strCache>
                <c:ptCount val="5"/>
                <c:pt idx="0">
                  <c:v>2016年</c:v>
                </c:pt>
                <c:pt idx="1">
                  <c:v>2017年</c:v>
                </c:pt>
                <c:pt idx="2">
                  <c:v>2018年</c:v>
                </c:pt>
                <c:pt idx="3">
                  <c:v>2019年</c:v>
                </c:pt>
                <c:pt idx="4">
                  <c:v>2020年</c:v>
                </c:pt>
              </c:strCache>
            </c:strRef>
          </c:cat>
          <c:val>
            <c:numRef>
              <c:f>Sheet1!$J$82:$J$86</c:f>
              <c:numCache>
                <c:formatCode>General</c:formatCode>
                <c:ptCount val="5"/>
                <c:pt idx="0">
                  <c:v>6.67</c:v>
                </c:pt>
                <c:pt idx="1">
                  <c:v>11.49</c:v>
                </c:pt>
                <c:pt idx="2">
                  <c:v>18.42</c:v>
                </c:pt>
                <c:pt idx="3">
                  <c:v>21.19</c:v>
                </c:pt>
                <c:pt idx="4">
                  <c:v>34.72</c:v>
                </c:pt>
              </c:numCache>
            </c:numRef>
          </c:val>
        </c:ser>
        <c:dLbls>
          <c:showLegendKey val="0"/>
          <c:showVal val="0"/>
          <c:showCatName val="0"/>
          <c:showSerName val="0"/>
          <c:showPercent val="0"/>
          <c:showBubbleSize val="0"/>
        </c:dLbls>
        <c:gapWidth val="219"/>
        <c:overlap val="-27"/>
        <c:axId val="785563280"/>
        <c:axId val="785563608"/>
      </c:barChart>
      <c:catAx>
        <c:axId val="7855632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608"/>
        <c:crosses val="autoZero"/>
        <c:auto val="1"/>
        <c:lblAlgn val="ctr"/>
        <c:lblOffset val="100"/>
        <c:noMultiLvlLbl val="0"/>
      </c:catAx>
      <c:valAx>
        <c:axId val="785563608"/>
        <c:scaling>
          <c:orientation val="minMax"/>
          <c:min val="0"/>
        </c:scaling>
        <c:delete val="0"/>
        <c:axPos val="l"/>
        <c:numFmt formatCode="0_);[Red]\(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lang="zh-CN" sz="10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Sheet1!$D$108</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6">
                  <a:lumMod val="60000"/>
                  <a:lumOff val="4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5"/>
              <c:layout>
                <c:manualLayout>
                  <c:x val="-2.53709681928146e-17"/>
                  <c:y val="0.036510108017454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110710958314491"/>
                  <c:y val="0.02281881751090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0830332187358683"/>
                  <c:y val="0.004563763502181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0332132874943473"/>
                  <c:y val="0.004563763502181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0553554791572455"/>
                  <c:y val="0.00912752700436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Sheet1!$C$109:$C$118</c:f>
              <c:strCache>
                <c:ptCount val="10"/>
                <c:pt idx="0">
                  <c:v>贵州</c:v>
                </c:pt>
                <c:pt idx="1">
                  <c:v>四川</c:v>
                </c:pt>
                <c:pt idx="2">
                  <c:v>安徽</c:v>
                </c:pt>
                <c:pt idx="3">
                  <c:v>辽宁</c:v>
                </c:pt>
                <c:pt idx="4">
                  <c:v>山东</c:v>
                </c:pt>
                <c:pt idx="5">
                  <c:v>云南</c:v>
                </c:pt>
                <c:pt idx="6">
                  <c:v>吉林</c:v>
                </c:pt>
                <c:pt idx="7">
                  <c:v>湖北</c:v>
                </c:pt>
                <c:pt idx="8">
                  <c:v>江苏</c:v>
                </c:pt>
                <c:pt idx="9">
                  <c:v>其他</c:v>
                </c:pt>
              </c:strCache>
            </c:strRef>
          </c:cat>
          <c:val>
            <c:numRef>
              <c:f>Sheet1!$D$109:$D$118</c:f>
              <c:numCache>
                <c:formatCode>0.0%</c:formatCode>
                <c:ptCount val="10"/>
                <c:pt idx="0">
                  <c:v>0.244815668202765</c:v>
                </c:pt>
                <c:pt idx="1">
                  <c:v>0.144009216589862</c:v>
                </c:pt>
                <c:pt idx="2">
                  <c:v>0.115207373271889</c:v>
                </c:pt>
                <c:pt idx="3">
                  <c:v>0.100806451612903</c:v>
                </c:pt>
                <c:pt idx="4">
                  <c:v>0.0950460829493088</c:v>
                </c:pt>
                <c:pt idx="5">
                  <c:v>0.0864055299539171</c:v>
                </c:pt>
                <c:pt idx="6">
                  <c:v>0.0432027649769585</c:v>
                </c:pt>
                <c:pt idx="7">
                  <c:v>0.0316820276497696</c:v>
                </c:pt>
                <c:pt idx="8">
                  <c:v>0.0288018433179724</c:v>
                </c:pt>
                <c:pt idx="9">
                  <c:v>0.110023041474654</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lang="zh-CN" sz="10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Sheet1!$O$165</c:f>
              <c:strCache>
                <c:ptCount val="1"/>
                <c:pt idx="0">
                  <c:v>需求量（万吨）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Sheet1!$N$166:$N$170</c:f>
              <c:strCache>
                <c:ptCount val="5"/>
                <c:pt idx="0">
                  <c:v>2016年</c:v>
                </c:pt>
                <c:pt idx="1">
                  <c:v>2017年</c:v>
                </c:pt>
                <c:pt idx="2">
                  <c:v>2018年</c:v>
                </c:pt>
                <c:pt idx="3">
                  <c:v>2019年</c:v>
                </c:pt>
                <c:pt idx="4">
                  <c:v>2020年</c:v>
                </c:pt>
              </c:strCache>
            </c:strRef>
          </c:cat>
          <c:val>
            <c:numRef>
              <c:f>Sheet1!$O$166:$O$170</c:f>
              <c:numCache>
                <c:formatCode>0.0</c:formatCode>
                <c:ptCount val="5"/>
                <c:pt idx="0">
                  <c:v>7.33</c:v>
                </c:pt>
                <c:pt idx="1">
                  <c:v>11.81</c:v>
                </c:pt>
                <c:pt idx="2">
                  <c:v>19.49</c:v>
                </c:pt>
                <c:pt idx="3">
                  <c:v>23.07</c:v>
                </c:pt>
                <c:pt idx="4">
                  <c:v>29.7603</c:v>
                </c:pt>
              </c:numCache>
            </c:numRef>
          </c:val>
        </c:ser>
        <c:dLbls>
          <c:showLegendKey val="0"/>
          <c:showVal val="0"/>
          <c:showCatName val="0"/>
          <c:showSerName val="0"/>
          <c:showPercent val="0"/>
          <c:showBubbleSize val="0"/>
        </c:dLbls>
        <c:gapWidth val="219"/>
        <c:overlap val="-27"/>
        <c:axId val="785563280"/>
        <c:axId val="785563608"/>
      </c:barChart>
      <c:catAx>
        <c:axId val="7855632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608"/>
        <c:crosses val="autoZero"/>
        <c:auto val="1"/>
        <c:lblAlgn val="ctr"/>
        <c:lblOffset val="100"/>
        <c:noMultiLvlLbl val="0"/>
      </c:catAx>
      <c:valAx>
        <c:axId val="785563608"/>
        <c:scaling>
          <c:orientation val="minMax"/>
          <c:min val="0"/>
        </c:scaling>
        <c:delete val="0"/>
        <c:axPos val="l"/>
        <c:numFmt formatCode="0_);[Red]\(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lang="zh-CN" sz="100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Sheet1!$O$131</c:f>
              <c:strCache>
                <c:ptCount val="1"/>
                <c:pt idx="0">
                  <c:v>进口量（吨）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Sheet1!$N$132:$N$136</c:f>
              <c:strCache>
                <c:ptCount val="5"/>
                <c:pt idx="0">
                  <c:v>2016年</c:v>
                </c:pt>
                <c:pt idx="1">
                  <c:v>2017年</c:v>
                </c:pt>
                <c:pt idx="2">
                  <c:v>2018年</c:v>
                </c:pt>
                <c:pt idx="3">
                  <c:v>2019年</c:v>
                </c:pt>
                <c:pt idx="4">
                  <c:v>2020年</c:v>
                </c:pt>
              </c:strCache>
            </c:strRef>
          </c:cat>
          <c:val>
            <c:numRef>
              <c:f>Sheet1!$O$132:$O$136</c:f>
              <c:numCache>
                <c:formatCode>General</c:formatCode>
                <c:ptCount val="5"/>
                <c:pt idx="0">
                  <c:v>8738</c:v>
                </c:pt>
                <c:pt idx="1">
                  <c:v>12217</c:v>
                </c:pt>
                <c:pt idx="2">
                  <c:v>15372</c:v>
                </c:pt>
                <c:pt idx="3">
                  <c:v>22045</c:v>
                </c:pt>
                <c:pt idx="4" c:formatCode="0">
                  <c:v>28658.5</c:v>
                </c:pt>
              </c:numCache>
            </c:numRef>
          </c:val>
        </c:ser>
        <c:dLbls>
          <c:showLegendKey val="0"/>
          <c:showVal val="0"/>
          <c:showCatName val="0"/>
          <c:showSerName val="0"/>
          <c:showPercent val="0"/>
          <c:showBubbleSize val="0"/>
        </c:dLbls>
        <c:gapWidth val="219"/>
        <c:overlap val="-27"/>
        <c:axId val="785563280"/>
        <c:axId val="785563608"/>
      </c:barChart>
      <c:catAx>
        <c:axId val="7855632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608"/>
        <c:crosses val="autoZero"/>
        <c:auto val="1"/>
        <c:lblAlgn val="ctr"/>
        <c:lblOffset val="100"/>
        <c:noMultiLvlLbl val="0"/>
      </c:catAx>
      <c:valAx>
        <c:axId val="785563608"/>
        <c:scaling>
          <c:orientation val="minMax"/>
          <c:min val="0"/>
        </c:scaling>
        <c:delete val="0"/>
        <c:axPos val="l"/>
        <c:numFmt formatCode="0_);[Red]\(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8556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8CD894-A4A5-4324-95C4-8E9DD36C7813}">
  <ds:schemaRefs/>
</ds:datastoreItem>
</file>

<file path=docProps/app.xml><?xml version="1.0" encoding="utf-8"?>
<Properties xmlns="http://schemas.openxmlformats.org/officeDocument/2006/extended-properties" xmlns:vt="http://schemas.openxmlformats.org/officeDocument/2006/docPropsVTypes">
  <Template>Normal</Template>
  <Pages>32</Pages>
  <Words>1959</Words>
  <Characters>11167</Characters>
  <Lines>93</Lines>
  <Paragraphs>26</Paragraphs>
  <TotalTime>1853</TotalTime>
  <ScaleCrop>false</ScaleCrop>
  <LinksUpToDate>false</LinksUpToDate>
  <CharactersWithSpaces>13100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2020-11-18T01:50:00Z</dcterms:created>
  <dc:creator>新平县投资促进局</dc:creator>
  <cp:lastModifiedBy>啊哈哈哈</cp:lastModifiedBy>
  <cp:lastPrinted>2021-09-28T02:26:00Z</cp:lastPrinted>
  <dcterms:modified xsi:type="dcterms:W3CDTF">2023-10-24T06:07:48Z</dcterms:modified>
  <cp:revision>495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23E18CBBA7B34D11985E1020C5B346BE_12</vt:lpwstr>
  </property>
</Properties>
</file>