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A53B1F">
      <w:pPr>
        <w:jc w:val="left"/>
        <w:rPr>
          <w:rFonts w:ascii="Times New Roman" w:hAnsi="Times New Roman" w:cs="Times New Roman"/>
          <w:b/>
          <w:color w:val="000000" w:themeColor="text1"/>
          <w:sz w:val="72"/>
          <w14:textFill>
            <w14:solidFill>
              <w14:schemeClr w14:val="tx1"/>
            </w14:solidFill>
          </w14:textFill>
        </w:rPr>
      </w:pPr>
    </w:p>
    <w:p w14:paraId="0CB31E6A">
      <w:pPr>
        <w:jc w:val="center"/>
        <w:rPr>
          <w:rFonts w:ascii="Times New Roman" w:hAnsi="Times New Roman" w:cs="Times New Roman"/>
          <w:b/>
          <w:color w:val="000000" w:themeColor="text1"/>
          <w:sz w:val="72"/>
          <w14:textFill>
            <w14:solidFill>
              <w14:schemeClr w14:val="tx1"/>
            </w14:solidFill>
          </w14:textFill>
        </w:rPr>
      </w:pPr>
    </w:p>
    <w:p w14:paraId="6933422B">
      <w:pPr>
        <w:jc w:val="center"/>
        <w:rPr>
          <w:rFonts w:ascii="Times New Roman" w:hAnsi="Times New Roman" w:cs="Times New Roman"/>
          <w:b/>
          <w:color w:val="000000" w:themeColor="text1"/>
          <w:sz w:val="72"/>
          <w14:textFill>
            <w14:solidFill>
              <w14:schemeClr w14:val="tx1"/>
            </w14:solidFill>
          </w14:textFill>
        </w:rPr>
      </w:pPr>
    </w:p>
    <w:p w14:paraId="0CDF845B">
      <w:pPr>
        <w:jc w:val="center"/>
        <w:rPr>
          <w:rFonts w:ascii="Times New Roman" w:hAnsi="Times New Roman" w:cs="Times New Roman"/>
          <w:b/>
          <w:color w:val="000000" w:themeColor="text1"/>
          <w:sz w:val="72"/>
          <w14:textFill>
            <w14:solidFill>
              <w14:schemeClr w14:val="tx1"/>
            </w14:solidFill>
          </w14:textFill>
        </w:rPr>
      </w:pPr>
      <w:r>
        <mc:AlternateContent>
          <mc:Choice Requires="wps">
            <w:drawing>
              <wp:anchor distT="45720" distB="45720" distL="114300" distR="114300" simplePos="0" relativeHeight="251660288" behindDoc="0" locked="0" layoutInCell="1" allowOverlap="1">
                <wp:simplePos x="0" y="0"/>
                <wp:positionH relativeFrom="margin">
                  <wp:posOffset>-662305</wp:posOffset>
                </wp:positionH>
                <wp:positionV relativeFrom="paragraph">
                  <wp:posOffset>922655</wp:posOffset>
                </wp:positionV>
                <wp:extent cx="6942455" cy="567690"/>
                <wp:effectExtent l="0" t="0" r="0" b="9525"/>
                <wp:wrapSquare wrapText="bothSides"/>
                <wp:docPr id="6" name="文本框 6"/>
                <wp:cNvGraphicFramePr/>
                <a:graphic xmlns:a="http://schemas.openxmlformats.org/drawingml/2006/main">
                  <a:graphicData uri="http://schemas.microsoft.com/office/word/2010/wordprocessingShape">
                    <wps:wsp>
                      <wps:cNvSpPr txBox="1">
                        <a:spLocks noChangeArrowheads="1"/>
                      </wps:cNvSpPr>
                      <wps:spPr bwMode="auto">
                        <a:xfrm>
                          <a:off x="0" y="0"/>
                          <a:ext cx="6942455" cy="567690"/>
                        </a:xfrm>
                        <a:prstGeom prst="rect">
                          <a:avLst/>
                        </a:prstGeom>
                        <a:solidFill>
                          <a:srgbClr val="FFFFFF"/>
                        </a:solidFill>
                        <a:ln>
                          <a:noFill/>
                        </a:ln>
                      </wps:spPr>
                      <wps:txbx>
                        <w:txbxContent>
                          <w:p w14:paraId="61BB36AB">
                            <w:pPr>
                              <w:spacing w:line="580" w:lineRule="exact"/>
                              <w:jc w:val="center"/>
                            </w:pPr>
                            <w:r>
                              <w:rPr>
                                <w:rFonts w:hint="eastAsia" w:ascii="方正小标宋简体" w:eastAsia="方正小标宋简体"/>
                                <w:b/>
                                <w:sz w:val="52"/>
                                <w:szCs w:val="52"/>
                              </w:rPr>
                              <w:t>息烽县绿色环保化工装备制造项目</w:t>
                            </w:r>
                          </w:p>
                        </w:txbxContent>
                      </wps:txbx>
                      <wps:bodyPr rot="0" vert="horz" wrap="square" lIns="91440" tIns="45720" rIns="91440" bIns="45720" anchor="t" anchorCtr="0" upright="1">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52.15pt;margin-top:72.65pt;height:44.7pt;width:546.65pt;mso-position-horizontal-relative:margin;mso-wrap-distance-bottom:3.6pt;mso-wrap-distance-left:9pt;mso-wrap-distance-right:9pt;mso-wrap-distance-top:3.6pt;z-index:251660288;mso-width-relative:page;mso-height-relative:margin;mso-height-percent:200;" fillcolor="#FFFFFF" filled="t" stroked="f" coordsize="21600,21600" o:gfxdata="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j2ICLaAAAADAEAAA8AAAAAAAAAAQAgAAAAIgAAAGRycy9kb3ducmV2LnhtbFBLAQIU&#10;ABQAAAAIAIdO4kCp/mfWKgIAAD4EAAAOAAAAAAAAAAEAIAAAACkBAABkcnMvZTJvRG9jLnhtbFBL&#10;BQYAAAAABgAGAFkBAADFBQAAAAA=&#10;">
                <v:fill on="t" focussize="0,0"/>
                <v:stroke on="f"/>
                <v:imagedata o:title=""/>
                <o:lock v:ext="edit" aspectratio="f"/>
                <v:textbox style="mso-fit-shape-to-text:t;">
                  <w:txbxContent>
                    <w:p w14:paraId="61BB36AB">
                      <w:pPr>
                        <w:spacing w:line="580" w:lineRule="exact"/>
                        <w:jc w:val="center"/>
                      </w:pPr>
                      <w:r>
                        <w:rPr>
                          <w:rFonts w:hint="eastAsia" w:ascii="方正小标宋简体" w:eastAsia="方正小标宋简体"/>
                          <w:b/>
                          <w:sz w:val="52"/>
                          <w:szCs w:val="52"/>
                        </w:rPr>
                        <w:t>息烽县绿色环保化工装备制造项目</w:t>
                      </w:r>
                    </w:p>
                  </w:txbxContent>
                </v:textbox>
                <w10:wrap type="square"/>
              </v:shape>
            </w:pict>
          </mc:Fallback>
        </mc:AlternateContent>
      </w:r>
    </w:p>
    <w:p w14:paraId="37A30800">
      <w:pPr>
        <w:jc w:val="center"/>
        <w:rPr>
          <w:rFonts w:ascii="Times New Roman" w:hAnsi="Times New Roman" w:cs="Times New Roman"/>
          <w:b/>
          <w:color w:val="000000" w:themeColor="text1"/>
          <w:sz w:val="72"/>
          <w14:textFill>
            <w14:solidFill>
              <w14:schemeClr w14:val="tx1"/>
            </w14:solidFill>
          </w14:textFill>
        </w:rPr>
      </w:pPr>
    </w:p>
    <w:p w14:paraId="06B61EBA">
      <w:pPr>
        <w:jc w:val="center"/>
        <w:rPr>
          <w:rFonts w:ascii="Times New Roman" w:hAnsi="Times New Roman" w:cs="Times New Roman"/>
          <w:b/>
          <w:color w:val="000000" w:themeColor="text1"/>
          <w:sz w:val="72"/>
          <w14:textFill>
            <w14:solidFill>
              <w14:schemeClr w14:val="tx1"/>
            </w14:solidFill>
          </w14:textFill>
        </w:rPr>
      </w:pPr>
    </w:p>
    <w:p w14:paraId="24323490">
      <w:pPr>
        <w:rPr>
          <w:rFonts w:ascii="Times New Roman" w:hAnsi="Times New Roman" w:cs="Times New Roman"/>
          <w:b/>
          <w:color w:val="000000" w:themeColor="text1"/>
          <w:sz w:val="72"/>
          <w14:textFill>
            <w14:solidFill>
              <w14:schemeClr w14:val="tx1"/>
            </w14:solidFill>
          </w14:textFill>
        </w:rPr>
      </w:pPr>
    </w:p>
    <w:p w14:paraId="12224958">
      <w:pPr>
        <w:jc w:val="center"/>
        <w:rPr>
          <w:rFonts w:ascii="Times New Roman" w:hAnsi="Times New Roman" w:cs="Times New Roman"/>
          <w:b/>
          <w:color w:val="000000" w:themeColor="text1"/>
          <w:sz w:val="72"/>
          <w14:textFill>
            <w14:solidFill>
              <w14:schemeClr w14:val="tx1"/>
            </w14:solidFill>
          </w14:textFill>
        </w:rPr>
      </w:pPr>
    </w:p>
    <w:p w14:paraId="51E9CF2A">
      <w:pPr>
        <w:jc w:val="center"/>
        <w:rPr>
          <w:rFonts w:ascii="Times New Roman" w:hAnsi="Times New Roman" w:cs="Times New Roman"/>
          <w:b/>
          <w:color w:val="000000" w:themeColor="text1"/>
          <w:sz w:val="72"/>
          <w14:textFill>
            <w14:solidFill>
              <w14:schemeClr w14:val="tx1"/>
            </w14:solidFill>
          </w14:textFill>
        </w:rPr>
      </w:pPr>
    </w:p>
    <w:p w14:paraId="41FDBE4D">
      <w:pPr>
        <w:jc w:val="center"/>
        <w:rPr>
          <w:rFonts w:ascii="Times New Roman" w:hAnsi="Times New Roman" w:cs="Times New Roman"/>
          <w:b/>
          <w:color w:val="000000" w:themeColor="text1"/>
          <w:sz w:val="72"/>
          <w14:textFill>
            <w14:solidFill>
              <w14:schemeClr w14:val="tx1"/>
            </w14:solidFill>
          </w14:textFill>
        </w:rPr>
      </w:pPr>
      <w:r>
        <mc:AlternateContent>
          <mc:Choice Requires="wps">
            <w:drawing>
              <wp:anchor distT="0" distB="0" distL="114300" distR="114300" simplePos="0" relativeHeight="251659264" behindDoc="0" locked="0" layoutInCell="1" allowOverlap="1">
                <wp:simplePos x="0" y="0"/>
                <wp:positionH relativeFrom="margin">
                  <wp:posOffset>539115</wp:posOffset>
                </wp:positionH>
                <wp:positionV relativeFrom="paragraph">
                  <wp:posOffset>1708785</wp:posOffset>
                </wp:positionV>
                <wp:extent cx="4459605" cy="405765"/>
                <wp:effectExtent l="0" t="0" r="0" b="3810"/>
                <wp:wrapNone/>
                <wp:docPr id="7" name="文本框 7"/>
                <wp:cNvGraphicFramePr/>
                <a:graphic xmlns:a="http://schemas.openxmlformats.org/drawingml/2006/main">
                  <a:graphicData uri="http://schemas.microsoft.com/office/word/2010/wordprocessingShape">
                    <wps:wsp>
                      <wps:cNvSpPr txBox="1">
                        <a:spLocks noChangeArrowheads="1"/>
                      </wps:cNvSpPr>
                      <wps:spPr bwMode="auto">
                        <a:xfrm>
                          <a:off x="0" y="0"/>
                          <a:ext cx="4459605" cy="405765"/>
                        </a:xfrm>
                        <a:prstGeom prst="rect">
                          <a:avLst/>
                        </a:prstGeom>
                        <a:noFill/>
                        <a:ln>
                          <a:noFill/>
                        </a:ln>
                      </wps:spPr>
                      <wps:txbx>
                        <w:txbxContent>
                          <w:p w14:paraId="5B1CA4FF">
                            <w:pPr>
                              <w:spacing w:line="580" w:lineRule="exact"/>
                              <w:jc w:val="center"/>
                              <w:rPr>
                                <w:rFonts w:ascii="楷体" w:hAnsi="楷体" w:eastAsia="楷体"/>
                                <w:color w:val="000000" w:themeColor="text1"/>
                                <w:kern w:val="24"/>
                                <w:sz w:val="32"/>
                                <w:szCs w:val="32"/>
                                <w14:textFill>
                                  <w14:solidFill>
                                    <w14:schemeClr w14:val="tx1"/>
                                  </w14:solidFill>
                                </w14:textFill>
                              </w:rPr>
                            </w:pPr>
                            <w:r>
                              <w:rPr>
                                <w:rFonts w:hint="eastAsia" w:ascii="楷体" w:hAnsi="楷体" w:eastAsia="楷体"/>
                                <w:color w:val="000000" w:themeColor="text1"/>
                                <w:kern w:val="24"/>
                                <w:sz w:val="32"/>
                                <w:szCs w:val="32"/>
                                <w14:textFill>
                                  <w14:solidFill>
                                    <w14:schemeClr w14:val="tx1"/>
                                  </w14:solidFill>
                                </w14:textFill>
                              </w:rPr>
                              <w:t>中国·贵州·息烽</w:t>
                            </w:r>
                          </w:p>
                        </w:txbxContent>
                      </wps:txbx>
                      <wps:bodyPr rot="0" vert="horz" wrap="square" lIns="91440" tIns="45720" rIns="91440" bIns="45720" anchor="t" anchorCtr="0" upright="1">
                        <a:spAutoFit/>
                      </wps:bodyPr>
                    </wps:wsp>
                  </a:graphicData>
                </a:graphic>
              </wp:anchor>
            </w:drawing>
          </mc:Choice>
          <mc:Fallback>
            <w:pict>
              <v:shape id="_x0000_s1026" o:spid="_x0000_s1026" o:spt="202" type="#_x0000_t202" style="position:absolute;left:0pt;margin-left:42.45pt;margin-top:134.55pt;height:31.95pt;width:351.15pt;mso-position-horizontal-relative:margin;z-index:251659264;mso-width-relative:page;mso-height-relative:page;" filled="f" stroked="f" coordsize="21600,21600" o:gfxdata="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kDYUrYAAAACgEAAA8A&#10;AAAAAAAAAQAgAAAAIgAAAGRycy9kb3ducmV2LnhtbFBLAQIUABQAAAAIAIdO4kD0vbH6FwIAABUE&#10;AAAOAAAAAAAAAAEAIAAAACcBAABkcnMvZTJvRG9jLnhtbFBLBQYAAAAABgAGAFkBAACwBQAAAAA=&#10;">
                <v:fill on="f" focussize="0,0"/>
                <v:stroke on="f"/>
                <v:imagedata o:title=""/>
                <o:lock v:ext="edit" aspectratio="f"/>
                <v:textbox style="mso-fit-shape-to-text:t;">
                  <w:txbxContent>
                    <w:p w14:paraId="5B1CA4FF">
                      <w:pPr>
                        <w:spacing w:line="580" w:lineRule="exact"/>
                        <w:jc w:val="center"/>
                        <w:rPr>
                          <w:rFonts w:ascii="楷体" w:hAnsi="楷体" w:eastAsia="楷体"/>
                          <w:color w:val="000000" w:themeColor="text1"/>
                          <w:kern w:val="24"/>
                          <w:sz w:val="32"/>
                          <w:szCs w:val="32"/>
                          <w14:textFill>
                            <w14:solidFill>
                              <w14:schemeClr w14:val="tx1"/>
                            </w14:solidFill>
                          </w14:textFill>
                        </w:rPr>
                      </w:pPr>
                      <w:r>
                        <w:rPr>
                          <w:rFonts w:hint="eastAsia" w:ascii="楷体" w:hAnsi="楷体" w:eastAsia="楷体"/>
                          <w:color w:val="000000" w:themeColor="text1"/>
                          <w:kern w:val="24"/>
                          <w:sz w:val="32"/>
                          <w:szCs w:val="32"/>
                          <w14:textFill>
                            <w14:solidFill>
                              <w14:schemeClr w14:val="tx1"/>
                            </w14:solidFill>
                          </w14:textFill>
                        </w:rPr>
                        <w:t>中国·贵州·息烽</w:t>
                      </w:r>
                    </w:p>
                  </w:txbxContent>
                </v:textbox>
              </v:shape>
            </w:pict>
          </mc:Fallback>
        </mc:AlternateContent>
      </w:r>
    </w:p>
    <w:p w14:paraId="56F83AC4">
      <w:pPr>
        <w:widowControl/>
        <w:jc w:val="left"/>
        <w:rPr>
          <w:rFonts w:ascii="Times New Roman" w:hAnsi="Times New Roman" w:cs="Times New Roman"/>
          <w:b/>
          <w:bCs/>
          <w:color w:val="000000" w:themeColor="text1"/>
          <w:kern w:val="0"/>
          <w:sz w:val="48"/>
          <w:szCs w:val="28"/>
          <w:lang w:val="zh-CN"/>
          <w14:textFill>
            <w14:solidFill>
              <w14:schemeClr w14:val="tx1"/>
            </w14:solidFill>
          </w14:textFill>
        </w:rPr>
        <w:sectPr>
          <w:headerReference r:id="rId3" w:type="default"/>
          <w:headerReference r:id="rId4" w:type="even"/>
          <w:pgSz w:w="11906" w:h="16838"/>
          <w:pgMar w:top="2098" w:right="1474" w:bottom="1985" w:left="1588" w:header="851" w:footer="1418" w:gutter="0"/>
          <w:pgNumType w:fmt="numberInDash"/>
          <w:cols w:space="720" w:num="1"/>
          <w:docGrid w:linePitch="381" w:charSpace="0"/>
        </w:sectPr>
      </w:pPr>
    </w:p>
    <w:p w14:paraId="2C9A238C">
      <w:pPr>
        <w:keepNext/>
        <w:keepLines/>
        <w:widowControl/>
        <w:tabs>
          <w:tab w:val="center" w:pos="4153"/>
          <w:tab w:val="left" w:pos="5910"/>
        </w:tabs>
        <w:snapToGrid w:val="0"/>
        <w:spacing w:line="580" w:lineRule="exact"/>
        <w:jc w:val="center"/>
        <w:rPr>
          <w:rFonts w:ascii="方正小标宋简体" w:eastAsia="方正小标宋简体" w:hAnsiTheme="majorHAnsi" w:cstheme="majorBidi"/>
          <w:b/>
          <w:bCs/>
          <w:color w:val="2E75B6" w:themeColor="accent1" w:themeShade="BF"/>
          <w:kern w:val="0"/>
          <w:sz w:val="44"/>
          <w:szCs w:val="44"/>
          <w:lang w:val="zh-CN"/>
        </w:rPr>
      </w:pPr>
      <w:r>
        <w:rPr>
          <w:rFonts w:hint="eastAsia" w:ascii="方正小标宋简体" w:eastAsia="方正小标宋简体" w:hAnsiTheme="majorHAnsi" w:cstheme="majorBidi"/>
          <w:b/>
          <w:bCs/>
          <w:color w:val="2E75B6" w:themeColor="accent1" w:themeShade="BF"/>
          <w:kern w:val="0"/>
          <w:sz w:val="44"/>
          <w:szCs w:val="44"/>
          <w:lang w:val="zh-CN"/>
        </w:rPr>
        <w:t>目录</w:t>
      </w:r>
    </w:p>
    <w:p w14:paraId="0F0D5E85">
      <w:pPr>
        <w:pStyle w:val="8"/>
        <w:spacing w:line="580" w:lineRule="exact"/>
        <w:jc w:val="distribute"/>
        <w:rPr>
          <w:rFonts w:ascii="仿宋_GB2312" w:hAnsiTheme="minorHAnsi" w:cstheme="minorBidi"/>
          <w:b w:val="0"/>
          <w:bCs w:val="0"/>
          <w:kern w:val="2"/>
          <w:sz w:val="22"/>
          <w:szCs w:val="24"/>
        </w:rPr>
      </w:pPr>
      <w:r>
        <w:rPr>
          <w:rFonts w:hint="eastAsia" w:ascii="仿宋_GB2312" w:cs="Times New Roman"/>
          <w:sz w:val="32"/>
          <w:szCs w:val="32"/>
          <w:shd w:val="clear" w:color="auto" w:fill="FFFFFF"/>
        </w:rPr>
        <w:fldChar w:fldCharType="begin"/>
      </w:r>
      <w:r>
        <w:rPr>
          <w:rFonts w:hint="eastAsia" w:ascii="仿宋_GB2312" w:cs="Times New Roman"/>
          <w:sz w:val="32"/>
          <w:szCs w:val="32"/>
        </w:rPr>
        <w:instrText xml:space="preserve"> TOC \o "1-3" \h \z \u </w:instrText>
      </w:r>
      <w:r>
        <w:rPr>
          <w:rFonts w:hint="eastAsia" w:ascii="仿宋_GB2312" w:cs="Times New Roman"/>
          <w:sz w:val="32"/>
          <w:szCs w:val="32"/>
          <w:shd w:val="clear" w:color="auto" w:fill="FFFFFF"/>
        </w:rPr>
        <w:fldChar w:fldCharType="separate"/>
      </w:r>
      <w:r>
        <w:fldChar w:fldCharType="begin"/>
      </w:r>
      <w:r>
        <w:instrText xml:space="preserve"> HYPERLINK \l "_Toc78208217" </w:instrText>
      </w:r>
      <w:r>
        <w:fldChar w:fldCharType="separate"/>
      </w:r>
      <w:r>
        <w:rPr>
          <w:rStyle w:val="15"/>
          <w:rFonts w:hint="eastAsia" w:ascii="仿宋_GB2312" w:hAnsi="宋体" w:cs="宋体"/>
          <w:sz w:val="32"/>
          <w:szCs w:val="32"/>
        </w:rPr>
        <w:t>第一章 区域投资环境</w:t>
      </w:r>
      <w:r>
        <w:rPr>
          <w:rFonts w:hint="eastAsia" w:ascii="仿宋_GB2312"/>
          <w:sz w:val="32"/>
          <w:szCs w:val="32"/>
        </w:rPr>
        <w:tab/>
      </w:r>
      <w:r>
        <w:rPr>
          <w:rFonts w:hint="eastAsia" w:ascii="仿宋_GB2312"/>
          <w:sz w:val="32"/>
          <w:szCs w:val="32"/>
        </w:rPr>
        <w:fldChar w:fldCharType="begin"/>
      </w:r>
      <w:r>
        <w:rPr>
          <w:rFonts w:hint="eastAsia" w:ascii="仿宋_GB2312"/>
          <w:sz w:val="32"/>
          <w:szCs w:val="32"/>
        </w:rPr>
        <w:instrText xml:space="preserve"> PAGEREF _Toc78208217 \h </w:instrText>
      </w:r>
      <w:r>
        <w:rPr>
          <w:rFonts w:hint="eastAsia" w:ascii="仿宋_GB2312"/>
          <w:sz w:val="32"/>
          <w:szCs w:val="32"/>
        </w:rPr>
        <w:fldChar w:fldCharType="separate"/>
      </w:r>
      <w:r>
        <w:rPr>
          <w:rFonts w:ascii="仿宋_GB2312"/>
          <w:sz w:val="32"/>
          <w:szCs w:val="32"/>
        </w:rPr>
        <w:t>1</w:t>
      </w:r>
      <w:r>
        <w:rPr>
          <w:rFonts w:hint="eastAsia" w:ascii="仿宋_GB2312"/>
          <w:sz w:val="32"/>
          <w:szCs w:val="32"/>
        </w:rPr>
        <w:fldChar w:fldCharType="end"/>
      </w:r>
      <w:r>
        <w:rPr>
          <w:rFonts w:hint="eastAsia" w:ascii="仿宋_GB2312"/>
          <w:sz w:val="32"/>
          <w:szCs w:val="32"/>
        </w:rPr>
        <w:fldChar w:fldCharType="end"/>
      </w:r>
    </w:p>
    <w:p w14:paraId="61B1B73B">
      <w:pPr>
        <w:pStyle w:val="9"/>
        <w:spacing w:line="580" w:lineRule="exact"/>
        <w:jc w:val="distribute"/>
        <w:rPr>
          <w:rFonts w:ascii="仿宋_GB2312" w:hAnsiTheme="minorHAnsi" w:cstheme="minorBidi"/>
          <w:bCs w:val="0"/>
          <w:kern w:val="2"/>
          <w:sz w:val="22"/>
          <w:szCs w:val="24"/>
        </w:rPr>
      </w:pPr>
      <w:r>
        <w:fldChar w:fldCharType="begin"/>
      </w:r>
      <w:r>
        <w:instrText xml:space="preserve"> HYPERLINK \l "_Toc78208218" </w:instrText>
      </w:r>
      <w:r>
        <w:fldChar w:fldCharType="separate"/>
      </w:r>
      <w:r>
        <w:rPr>
          <w:rStyle w:val="15"/>
          <w:rFonts w:hint="eastAsia" w:ascii="仿宋_GB2312" w:hAnsi="黑体" w:cs="宋体"/>
          <w:sz w:val="32"/>
          <w:szCs w:val="32"/>
        </w:rPr>
        <w:t>一、息烽发展概况</w:t>
      </w:r>
      <w:r>
        <w:rPr>
          <w:rFonts w:hint="eastAsia" w:ascii="仿宋_GB2312"/>
          <w:sz w:val="32"/>
          <w:szCs w:val="32"/>
        </w:rPr>
        <w:tab/>
      </w:r>
      <w:r>
        <w:rPr>
          <w:rFonts w:hint="eastAsia" w:ascii="仿宋_GB2312"/>
          <w:sz w:val="32"/>
          <w:szCs w:val="32"/>
        </w:rPr>
        <w:fldChar w:fldCharType="begin"/>
      </w:r>
      <w:r>
        <w:rPr>
          <w:rFonts w:hint="eastAsia" w:ascii="仿宋_GB2312"/>
          <w:sz w:val="32"/>
          <w:szCs w:val="32"/>
        </w:rPr>
        <w:instrText xml:space="preserve"> PAGEREF _Toc78208218 \h </w:instrText>
      </w:r>
      <w:r>
        <w:rPr>
          <w:rFonts w:hint="eastAsia" w:ascii="仿宋_GB2312"/>
          <w:sz w:val="32"/>
          <w:szCs w:val="32"/>
        </w:rPr>
        <w:fldChar w:fldCharType="separate"/>
      </w:r>
      <w:r>
        <w:rPr>
          <w:rFonts w:ascii="仿宋_GB2312"/>
          <w:sz w:val="32"/>
          <w:szCs w:val="32"/>
        </w:rPr>
        <w:t>1</w:t>
      </w:r>
      <w:r>
        <w:rPr>
          <w:rFonts w:hint="eastAsia" w:ascii="仿宋_GB2312"/>
          <w:sz w:val="32"/>
          <w:szCs w:val="32"/>
        </w:rPr>
        <w:fldChar w:fldCharType="end"/>
      </w:r>
      <w:r>
        <w:rPr>
          <w:rFonts w:hint="eastAsia" w:ascii="仿宋_GB2312"/>
          <w:sz w:val="32"/>
          <w:szCs w:val="32"/>
        </w:rPr>
        <w:fldChar w:fldCharType="end"/>
      </w:r>
    </w:p>
    <w:p w14:paraId="0EB92655">
      <w:pPr>
        <w:pStyle w:val="9"/>
        <w:spacing w:line="580" w:lineRule="exact"/>
        <w:jc w:val="distribute"/>
        <w:rPr>
          <w:rFonts w:ascii="仿宋_GB2312" w:hAnsiTheme="minorHAnsi" w:cstheme="minorBidi"/>
          <w:bCs w:val="0"/>
          <w:kern w:val="2"/>
          <w:sz w:val="22"/>
          <w:szCs w:val="24"/>
        </w:rPr>
      </w:pPr>
      <w:r>
        <w:fldChar w:fldCharType="begin"/>
      </w:r>
      <w:r>
        <w:instrText xml:space="preserve"> HYPERLINK \l "_Toc78208219" </w:instrText>
      </w:r>
      <w:r>
        <w:fldChar w:fldCharType="separate"/>
      </w:r>
      <w:r>
        <w:rPr>
          <w:rStyle w:val="15"/>
          <w:rFonts w:hint="eastAsia" w:ascii="仿宋_GB2312" w:hAnsi="黑体" w:cs="宋体"/>
          <w:sz w:val="32"/>
          <w:szCs w:val="32"/>
        </w:rPr>
        <w:t>二、经济社会发展</w:t>
      </w:r>
      <w:r>
        <w:rPr>
          <w:rFonts w:hint="eastAsia" w:ascii="仿宋_GB2312"/>
          <w:sz w:val="32"/>
          <w:szCs w:val="32"/>
        </w:rPr>
        <w:tab/>
      </w:r>
      <w:r>
        <w:rPr>
          <w:rFonts w:hint="eastAsia" w:ascii="仿宋_GB2312"/>
          <w:sz w:val="32"/>
          <w:szCs w:val="32"/>
        </w:rPr>
        <w:fldChar w:fldCharType="begin"/>
      </w:r>
      <w:r>
        <w:rPr>
          <w:rFonts w:hint="eastAsia" w:ascii="仿宋_GB2312"/>
          <w:sz w:val="32"/>
          <w:szCs w:val="32"/>
        </w:rPr>
        <w:instrText xml:space="preserve"> PAGEREF _Toc78208219 \h </w:instrText>
      </w:r>
      <w:r>
        <w:rPr>
          <w:rFonts w:hint="eastAsia" w:ascii="仿宋_GB2312"/>
          <w:sz w:val="32"/>
          <w:szCs w:val="32"/>
        </w:rPr>
        <w:fldChar w:fldCharType="separate"/>
      </w:r>
      <w:r>
        <w:rPr>
          <w:rFonts w:ascii="仿宋_GB2312"/>
          <w:sz w:val="32"/>
          <w:szCs w:val="32"/>
        </w:rPr>
        <w:t>2</w:t>
      </w:r>
      <w:r>
        <w:rPr>
          <w:rFonts w:hint="eastAsia" w:ascii="仿宋_GB2312"/>
          <w:sz w:val="32"/>
          <w:szCs w:val="32"/>
        </w:rPr>
        <w:fldChar w:fldCharType="end"/>
      </w:r>
      <w:r>
        <w:rPr>
          <w:rFonts w:hint="eastAsia" w:ascii="仿宋_GB2312"/>
          <w:sz w:val="32"/>
          <w:szCs w:val="32"/>
        </w:rPr>
        <w:fldChar w:fldCharType="end"/>
      </w:r>
    </w:p>
    <w:p w14:paraId="0528E8D1">
      <w:pPr>
        <w:pStyle w:val="9"/>
        <w:spacing w:line="580" w:lineRule="exact"/>
        <w:jc w:val="distribute"/>
        <w:rPr>
          <w:rFonts w:ascii="仿宋_GB2312" w:hAnsiTheme="minorHAnsi" w:cstheme="minorBidi"/>
          <w:bCs w:val="0"/>
          <w:kern w:val="2"/>
          <w:sz w:val="22"/>
          <w:szCs w:val="24"/>
        </w:rPr>
      </w:pPr>
      <w:r>
        <w:fldChar w:fldCharType="begin"/>
      </w:r>
      <w:r>
        <w:instrText xml:space="preserve"> HYPERLINK \l "_Toc78208220" </w:instrText>
      </w:r>
      <w:r>
        <w:fldChar w:fldCharType="separate"/>
      </w:r>
      <w:r>
        <w:rPr>
          <w:rStyle w:val="15"/>
          <w:rFonts w:hint="eastAsia" w:ascii="仿宋_GB2312" w:hAnsi="黑体" w:cs="宋体"/>
          <w:sz w:val="32"/>
          <w:szCs w:val="32"/>
        </w:rPr>
        <w:t>三、发展规划及潜力</w:t>
      </w:r>
      <w:r>
        <w:rPr>
          <w:rFonts w:hint="eastAsia" w:ascii="仿宋_GB2312"/>
          <w:sz w:val="32"/>
          <w:szCs w:val="32"/>
        </w:rPr>
        <w:tab/>
      </w:r>
      <w:r>
        <w:rPr>
          <w:rFonts w:hint="eastAsia" w:ascii="仿宋_GB2312"/>
          <w:sz w:val="32"/>
          <w:szCs w:val="32"/>
        </w:rPr>
        <w:fldChar w:fldCharType="begin"/>
      </w:r>
      <w:r>
        <w:rPr>
          <w:rFonts w:hint="eastAsia" w:ascii="仿宋_GB2312"/>
          <w:sz w:val="32"/>
          <w:szCs w:val="32"/>
        </w:rPr>
        <w:instrText xml:space="preserve"> PAGEREF _Toc78208220 \h </w:instrText>
      </w:r>
      <w:r>
        <w:rPr>
          <w:rFonts w:hint="eastAsia" w:ascii="仿宋_GB2312"/>
          <w:sz w:val="32"/>
          <w:szCs w:val="32"/>
        </w:rPr>
        <w:fldChar w:fldCharType="separate"/>
      </w:r>
      <w:r>
        <w:rPr>
          <w:rFonts w:ascii="仿宋_GB2312"/>
          <w:sz w:val="32"/>
          <w:szCs w:val="32"/>
        </w:rPr>
        <w:t>4</w:t>
      </w:r>
      <w:r>
        <w:rPr>
          <w:rFonts w:hint="eastAsia" w:ascii="仿宋_GB2312"/>
          <w:sz w:val="32"/>
          <w:szCs w:val="32"/>
        </w:rPr>
        <w:fldChar w:fldCharType="end"/>
      </w:r>
      <w:r>
        <w:rPr>
          <w:rFonts w:hint="eastAsia" w:ascii="仿宋_GB2312"/>
          <w:sz w:val="32"/>
          <w:szCs w:val="32"/>
        </w:rPr>
        <w:fldChar w:fldCharType="end"/>
      </w:r>
    </w:p>
    <w:p w14:paraId="741B40C2">
      <w:pPr>
        <w:pStyle w:val="8"/>
        <w:spacing w:line="580" w:lineRule="exact"/>
        <w:jc w:val="distribute"/>
        <w:rPr>
          <w:rFonts w:ascii="仿宋_GB2312" w:hAnsiTheme="minorHAnsi" w:cstheme="minorBidi"/>
          <w:b w:val="0"/>
          <w:bCs w:val="0"/>
          <w:kern w:val="2"/>
          <w:sz w:val="22"/>
          <w:szCs w:val="24"/>
        </w:rPr>
      </w:pPr>
      <w:r>
        <w:fldChar w:fldCharType="begin"/>
      </w:r>
      <w:r>
        <w:instrText xml:space="preserve"> HYPERLINK \l "_Toc78208221" </w:instrText>
      </w:r>
      <w:r>
        <w:fldChar w:fldCharType="separate"/>
      </w:r>
      <w:r>
        <w:rPr>
          <w:rStyle w:val="15"/>
          <w:rFonts w:hint="eastAsia" w:ascii="仿宋_GB2312" w:hAnsi="宋体" w:cs="宋体"/>
          <w:sz w:val="32"/>
          <w:szCs w:val="32"/>
        </w:rPr>
        <w:t>第二章 项目投资优势</w:t>
      </w:r>
      <w:r>
        <w:rPr>
          <w:rFonts w:hint="eastAsia" w:ascii="仿宋_GB2312"/>
          <w:sz w:val="32"/>
          <w:szCs w:val="32"/>
        </w:rPr>
        <w:tab/>
      </w:r>
      <w:r>
        <w:rPr>
          <w:rFonts w:hint="eastAsia" w:ascii="仿宋_GB2312"/>
          <w:sz w:val="32"/>
          <w:szCs w:val="32"/>
        </w:rPr>
        <w:fldChar w:fldCharType="begin"/>
      </w:r>
      <w:r>
        <w:rPr>
          <w:rFonts w:hint="eastAsia" w:ascii="仿宋_GB2312"/>
          <w:sz w:val="32"/>
          <w:szCs w:val="32"/>
        </w:rPr>
        <w:instrText xml:space="preserve"> PAGEREF _Toc78208221 \h </w:instrText>
      </w:r>
      <w:r>
        <w:rPr>
          <w:rFonts w:hint="eastAsia" w:ascii="仿宋_GB2312"/>
          <w:sz w:val="32"/>
          <w:szCs w:val="32"/>
        </w:rPr>
        <w:fldChar w:fldCharType="separate"/>
      </w:r>
      <w:r>
        <w:rPr>
          <w:rFonts w:ascii="仿宋_GB2312"/>
          <w:sz w:val="32"/>
          <w:szCs w:val="32"/>
        </w:rPr>
        <w:t>5</w:t>
      </w:r>
      <w:r>
        <w:rPr>
          <w:rFonts w:hint="eastAsia" w:ascii="仿宋_GB2312"/>
          <w:sz w:val="32"/>
          <w:szCs w:val="32"/>
        </w:rPr>
        <w:fldChar w:fldCharType="end"/>
      </w:r>
      <w:r>
        <w:rPr>
          <w:rFonts w:hint="eastAsia" w:ascii="仿宋_GB2312"/>
          <w:sz w:val="32"/>
          <w:szCs w:val="32"/>
        </w:rPr>
        <w:fldChar w:fldCharType="end"/>
      </w:r>
    </w:p>
    <w:p w14:paraId="7BF14344">
      <w:pPr>
        <w:pStyle w:val="9"/>
        <w:spacing w:line="580" w:lineRule="exact"/>
        <w:jc w:val="distribute"/>
        <w:rPr>
          <w:rFonts w:ascii="仿宋_GB2312" w:hAnsiTheme="minorHAnsi" w:cstheme="minorBidi"/>
          <w:bCs w:val="0"/>
          <w:kern w:val="2"/>
          <w:sz w:val="22"/>
          <w:szCs w:val="24"/>
        </w:rPr>
      </w:pPr>
      <w:r>
        <w:fldChar w:fldCharType="begin"/>
      </w:r>
      <w:r>
        <w:instrText xml:space="preserve"> HYPERLINK \l "_Toc78208222" </w:instrText>
      </w:r>
      <w:r>
        <w:fldChar w:fldCharType="separate"/>
      </w:r>
      <w:r>
        <w:rPr>
          <w:rStyle w:val="15"/>
          <w:rFonts w:hint="eastAsia" w:ascii="仿宋_GB2312" w:hAnsi="黑体" w:cs="宋体"/>
          <w:sz w:val="32"/>
          <w:szCs w:val="32"/>
        </w:rPr>
        <w:t>一、产品市场优势</w:t>
      </w:r>
      <w:r>
        <w:rPr>
          <w:rFonts w:hint="eastAsia" w:ascii="仿宋_GB2312"/>
          <w:sz w:val="32"/>
          <w:szCs w:val="32"/>
        </w:rPr>
        <w:tab/>
      </w:r>
      <w:r>
        <w:rPr>
          <w:rFonts w:hint="eastAsia" w:ascii="仿宋_GB2312"/>
          <w:sz w:val="32"/>
          <w:szCs w:val="32"/>
        </w:rPr>
        <w:fldChar w:fldCharType="begin"/>
      </w:r>
      <w:r>
        <w:rPr>
          <w:rFonts w:hint="eastAsia" w:ascii="仿宋_GB2312"/>
          <w:sz w:val="32"/>
          <w:szCs w:val="32"/>
        </w:rPr>
        <w:instrText xml:space="preserve"> PAGEREF _Toc78208222 \h </w:instrText>
      </w:r>
      <w:r>
        <w:rPr>
          <w:rFonts w:hint="eastAsia" w:ascii="仿宋_GB2312"/>
          <w:sz w:val="32"/>
          <w:szCs w:val="32"/>
        </w:rPr>
        <w:fldChar w:fldCharType="separate"/>
      </w:r>
      <w:r>
        <w:rPr>
          <w:rFonts w:ascii="仿宋_GB2312"/>
          <w:sz w:val="32"/>
          <w:szCs w:val="32"/>
        </w:rPr>
        <w:t>5</w:t>
      </w:r>
      <w:r>
        <w:rPr>
          <w:rFonts w:hint="eastAsia" w:ascii="仿宋_GB2312"/>
          <w:sz w:val="32"/>
          <w:szCs w:val="32"/>
        </w:rPr>
        <w:fldChar w:fldCharType="end"/>
      </w:r>
      <w:r>
        <w:rPr>
          <w:rFonts w:hint="eastAsia" w:ascii="仿宋_GB2312"/>
          <w:sz w:val="32"/>
          <w:szCs w:val="32"/>
        </w:rPr>
        <w:fldChar w:fldCharType="end"/>
      </w:r>
    </w:p>
    <w:p w14:paraId="3D3DC2EC">
      <w:pPr>
        <w:pStyle w:val="9"/>
        <w:spacing w:line="580" w:lineRule="exact"/>
        <w:jc w:val="distribute"/>
        <w:rPr>
          <w:rFonts w:ascii="仿宋_GB2312" w:hAnsiTheme="minorHAnsi" w:cstheme="minorBidi"/>
          <w:bCs w:val="0"/>
          <w:kern w:val="2"/>
          <w:sz w:val="22"/>
          <w:szCs w:val="24"/>
        </w:rPr>
      </w:pPr>
      <w:r>
        <w:fldChar w:fldCharType="begin"/>
      </w:r>
      <w:r>
        <w:instrText xml:space="preserve"> HYPERLINK \l "_Toc78208223" </w:instrText>
      </w:r>
      <w:r>
        <w:fldChar w:fldCharType="separate"/>
      </w:r>
      <w:r>
        <w:rPr>
          <w:rStyle w:val="15"/>
          <w:rFonts w:hint="eastAsia" w:ascii="仿宋_GB2312" w:hAnsi="黑体" w:cs="宋体"/>
          <w:sz w:val="32"/>
          <w:szCs w:val="32"/>
        </w:rPr>
        <w:t>二、成本要素优势</w:t>
      </w:r>
      <w:r>
        <w:rPr>
          <w:rFonts w:hint="eastAsia" w:ascii="仿宋_GB2312"/>
          <w:sz w:val="32"/>
          <w:szCs w:val="32"/>
        </w:rPr>
        <w:tab/>
      </w:r>
      <w:r>
        <w:rPr>
          <w:rFonts w:hint="eastAsia" w:ascii="仿宋_GB2312"/>
          <w:sz w:val="32"/>
          <w:szCs w:val="32"/>
        </w:rPr>
        <w:fldChar w:fldCharType="begin"/>
      </w:r>
      <w:r>
        <w:rPr>
          <w:rFonts w:hint="eastAsia" w:ascii="仿宋_GB2312"/>
          <w:sz w:val="32"/>
          <w:szCs w:val="32"/>
        </w:rPr>
        <w:instrText xml:space="preserve"> PAGEREF _Toc78208223 \h </w:instrText>
      </w:r>
      <w:r>
        <w:rPr>
          <w:rFonts w:hint="eastAsia" w:ascii="仿宋_GB2312"/>
          <w:sz w:val="32"/>
          <w:szCs w:val="32"/>
        </w:rPr>
        <w:fldChar w:fldCharType="separate"/>
      </w:r>
      <w:r>
        <w:rPr>
          <w:rFonts w:ascii="仿宋_GB2312"/>
          <w:sz w:val="32"/>
          <w:szCs w:val="32"/>
        </w:rPr>
        <w:t>5</w:t>
      </w:r>
      <w:r>
        <w:rPr>
          <w:rFonts w:hint="eastAsia" w:ascii="仿宋_GB2312"/>
          <w:sz w:val="32"/>
          <w:szCs w:val="32"/>
        </w:rPr>
        <w:fldChar w:fldCharType="end"/>
      </w:r>
      <w:r>
        <w:rPr>
          <w:rFonts w:hint="eastAsia" w:ascii="仿宋_GB2312"/>
          <w:sz w:val="32"/>
          <w:szCs w:val="32"/>
        </w:rPr>
        <w:fldChar w:fldCharType="end"/>
      </w:r>
    </w:p>
    <w:p w14:paraId="6A777B7B">
      <w:pPr>
        <w:pStyle w:val="9"/>
        <w:spacing w:line="580" w:lineRule="exact"/>
        <w:jc w:val="distribute"/>
        <w:rPr>
          <w:rFonts w:ascii="仿宋_GB2312" w:hAnsiTheme="minorHAnsi" w:cstheme="minorBidi"/>
          <w:bCs w:val="0"/>
          <w:kern w:val="2"/>
          <w:sz w:val="22"/>
          <w:szCs w:val="24"/>
        </w:rPr>
      </w:pPr>
      <w:r>
        <w:fldChar w:fldCharType="begin"/>
      </w:r>
      <w:r>
        <w:instrText xml:space="preserve"> HYPERLINK \l "_Toc78208224" </w:instrText>
      </w:r>
      <w:r>
        <w:fldChar w:fldCharType="separate"/>
      </w:r>
      <w:r>
        <w:rPr>
          <w:rStyle w:val="15"/>
          <w:rFonts w:hint="eastAsia" w:ascii="仿宋_GB2312" w:hAnsi="黑体" w:cs="宋体"/>
          <w:sz w:val="32"/>
          <w:szCs w:val="32"/>
        </w:rPr>
        <w:t>三、区位交通优势</w:t>
      </w:r>
      <w:r>
        <w:rPr>
          <w:rFonts w:hint="eastAsia" w:ascii="仿宋_GB2312"/>
          <w:sz w:val="32"/>
          <w:szCs w:val="32"/>
        </w:rPr>
        <w:tab/>
      </w:r>
      <w:r>
        <w:rPr>
          <w:rFonts w:hint="eastAsia" w:ascii="仿宋_GB2312"/>
          <w:sz w:val="32"/>
          <w:szCs w:val="32"/>
        </w:rPr>
        <w:fldChar w:fldCharType="begin"/>
      </w:r>
      <w:r>
        <w:rPr>
          <w:rFonts w:hint="eastAsia" w:ascii="仿宋_GB2312"/>
          <w:sz w:val="32"/>
          <w:szCs w:val="32"/>
        </w:rPr>
        <w:instrText xml:space="preserve"> PAGEREF _Toc78208224 \h </w:instrText>
      </w:r>
      <w:r>
        <w:rPr>
          <w:rFonts w:hint="eastAsia" w:ascii="仿宋_GB2312"/>
          <w:sz w:val="32"/>
          <w:szCs w:val="32"/>
        </w:rPr>
        <w:fldChar w:fldCharType="separate"/>
      </w:r>
      <w:r>
        <w:rPr>
          <w:rFonts w:ascii="仿宋_GB2312"/>
          <w:sz w:val="32"/>
          <w:szCs w:val="32"/>
        </w:rPr>
        <w:t>6</w:t>
      </w:r>
      <w:r>
        <w:rPr>
          <w:rFonts w:hint="eastAsia" w:ascii="仿宋_GB2312"/>
          <w:sz w:val="32"/>
          <w:szCs w:val="32"/>
        </w:rPr>
        <w:fldChar w:fldCharType="end"/>
      </w:r>
      <w:r>
        <w:rPr>
          <w:rFonts w:hint="eastAsia" w:ascii="仿宋_GB2312"/>
          <w:sz w:val="32"/>
          <w:szCs w:val="32"/>
        </w:rPr>
        <w:fldChar w:fldCharType="end"/>
      </w:r>
    </w:p>
    <w:p w14:paraId="1A222DA7">
      <w:pPr>
        <w:pStyle w:val="9"/>
        <w:spacing w:line="580" w:lineRule="exact"/>
        <w:jc w:val="distribute"/>
        <w:rPr>
          <w:rFonts w:ascii="仿宋_GB2312" w:hAnsiTheme="minorHAnsi" w:cstheme="minorBidi"/>
          <w:bCs w:val="0"/>
          <w:kern w:val="2"/>
          <w:sz w:val="22"/>
          <w:szCs w:val="24"/>
        </w:rPr>
      </w:pPr>
      <w:r>
        <w:fldChar w:fldCharType="begin"/>
      </w:r>
      <w:r>
        <w:instrText xml:space="preserve"> HYPERLINK \l "_Toc78208225" </w:instrText>
      </w:r>
      <w:r>
        <w:fldChar w:fldCharType="separate"/>
      </w:r>
      <w:r>
        <w:rPr>
          <w:rStyle w:val="15"/>
          <w:rFonts w:hint="eastAsia" w:ascii="仿宋_GB2312" w:hAnsi="黑体" w:cs="宋体"/>
          <w:sz w:val="32"/>
          <w:szCs w:val="32"/>
        </w:rPr>
        <w:t>四、营商环境优势</w:t>
      </w:r>
      <w:r>
        <w:rPr>
          <w:rFonts w:hint="eastAsia" w:ascii="仿宋_GB2312"/>
          <w:sz w:val="32"/>
          <w:szCs w:val="32"/>
        </w:rPr>
        <w:tab/>
      </w:r>
      <w:r>
        <w:rPr>
          <w:rFonts w:hint="eastAsia" w:ascii="仿宋_GB2312"/>
          <w:sz w:val="32"/>
          <w:szCs w:val="32"/>
        </w:rPr>
        <w:fldChar w:fldCharType="begin"/>
      </w:r>
      <w:r>
        <w:rPr>
          <w:rFonts w:hint="eastAsia" w:ascii="仿宋_GB2312"/>
          <w:sz w:val="32"/>
          <w:szCs w:val="32"/>
        </w:rPr>
        <w:instrText xml:space="preserve"> PAGEREF _Toc78208225 \h </w:instrText>
      </w:r>
      <w:r>
        <w:rPr>
          <w:rFonts w:hint="eastAsia" w:ascii="仿宋_GB2312"/>
          <w:sz w:val="32"/>
          <w:szCs w:val="32"/>
        </w:rPr>
        <w:fldChar w:fldCharType="separate"/>
      </w:r>
      <w:r>
        <w:rPr>
          <w:rFonts w:ascii="仿宋_GB2312"/>
          <w:sz w:val="32"/>
          <w:szCs w:val="32"/>
        </w:rPr>
        <w:t>8</w:t>
      </w:r>
      <w:r>
        <w:rPr>
          <w:rFonts w:hint="eastAsia" w:ascii="仿宋_GB2312"/>
          <w:sz w:val="32"/>
          <w:szCs w:val="32"/>
        </w:rPr>
        <w:fldChar w:fldCharType="end"/>
      </w:r>
      <w:r>
        <w:rPr>
          <w:rFonts w:hint="eastAsia" w:ascii="仿宋_GB2312"/>
          <w:sz w:val="32"/>
          <w:szCs w:val="32"/>
        </w:rPr>
        <w:fldChar w:fldCharType="end"/>
      </w:r>
    </w:p>
    <w:p w14:paraId="072C553A">
      <w:pPr>
        <w:pStyle w:val="8"/>
        <w:spacing w:line="580" w:lineRule="exact"/>
        <w:jc w:val="distribute"/>
        <w:rPr>
          <w:rFonts w:ascii="仿宋_GB2312" w:hAnsiTheme="minorHAnsi" w:cstheme="minorBidi"/>
          <w:b w:val="0"/>
          <w:bCs w:val="0"/>
          <w:kern w:val="2"/>
          <w:sz w:val="22"/>
          <w:szCs w:val="24"/>
        </w:rPr>
      </w:pPr>
      <w:r>
        <w:fldChar w:fldCharType="begin"/>
      </w:r>
      <w:r>
        <w:instrText xml:space="preserve"> HYPERLINK \l "_Toc78208226" </w:instrText>
      </w:r>
      <w:r>
        <w:fldChar w:fldCharType="separate"/>
      </w:r>
      <w:r>
        <w:rPr>
          <w:rStyle w:val="15"/>
          <w:rFonts w:hint="eastAsia" w:ascii="仿宋_GB2312" w:hAnsi="宋体" w:cs="宋体"/>
          <w:sz w:val="32"/>
          <w:szCs w:val="32"/>
        </w:rPr>
        <w:t>第三章 项目开发建设方案</w:t>
      </w:r>
      <w:r>
        <w:rPr>
          <w:rFonts w:hint="eastAsia" w:ascii="仿宋_GB2312"/>
          <w:sz w:val="32"/>
          <w:szCs w:val="32"/>
        </w:rPr>
        <w:tab/>
      </w:r>
      <w:r>
        <w:rPr>
          <w:rFonts w:hint="eastAsia" w:ascii="仿宋_GB2312"/>
          <w:sz w:val="32"/>
          <w:szCs w:val="32"/>
        </w:rPr>
        <w:fldChar w:fldCharType="begin"/>
      </w:r>
      <w:r>
        <w:rPr>
          <w:rFonts w:hint="eastAsia" w:ascii="仿宋_GB2312"/>
          <w:sz w:val="32"/>
          <w:szCs w:val="32"/>
        </w:rPr>
        <w:instrText xml:space="preserve"> PAGEREF _Toc78208226 \h </w:instrText>
      </w:r>
      <w:r>
        <w:rPr>
          <w:rFonts w:hint="eastAsia" w:ascii="仿宋_GB2312"/>
          <w:sz w:val="32"/>
          <w:szCs w:val="32"/>
        </w:rPr>
        <w:fldChar w:fldCharType="separate"/>
      </w:r>
      <w:r>
        <w:rPr>
          <w:rFonts w:ascii="仿宋_GB2312"/>
          <w:sz w:val="32"/>
          <w:szCs w:val="32"/>
        </w:rPr>
        <w:t>10</w:t>
      </w:r>
      <w:r>
        <w:rPr>
          <w:rFonts w:hint="eastAsia" w:ascii="仿宋_GB2312"/>
          <w:sz w:val="32"/>
          <w:szCs w:val="32"/>
        </w:rPr>
        <w:fldChar w:fldCharType="end"/>
      </w:r>
      <w:r>
        <w:rPr>
          <w:rFonts w:hint="eastAsia" w:ascii="仿宋_GB2312"/>
          <w:sz w:val="32"/>
          <w:szCs w:val="32"/>
        </w:rPr>
        <w:fldChar w:fldCharType="end"/>
      </w:r>
    </w:p>
    <w:p w14:paraId="60C4E165">
      <w:pPr>
        <w:pStyle w:val="9"/>
        <w:spacing w:line="580" w:lineRule="exact"/>
        <w:jc w:val="distribute"/>
        <w:rPr>
          <w:rFonts w:ascii="仿宋_GB2312" w:hAnsiTheme="minorHAnsi" w:cstheme="minorBidi"/>
          <w:bCs w:val="0"/>
          <w:kern w:val="2"/>
          <w:sz w:val="22"/>
          <w:szCs w:val="24"/>
        </w:rPr>
      </w:pPr>
      <w:r>
        <w:fldChar w:fldCharType="begin"/>
      </w:r>
      <w:r>
        <w:instrText xml:space="preserve"> HYPERLINK \l "_Toc78208227" </w:instrText>
      </w:r>
      <w:r>
        <w:fldChar w:fldCharType="separate"/>
      </w:r>
      <w:r>
        <w:rPr>
          <w:rStyle w:val="15"/>
          <w:rFonts w:hint="eastAsia" w:ascii="仿宋_GB2312" w:hAnsi="黑体" w:cs="宋体"/>
          <w:sz w:val="32"/>
          <w:szCs w:val="32"/>
        </w:rPr>
        <w:t>一、项目建设背景</w:t>
      </w:r>
      <w:r>
        <w:rPr>
          <w:rFonts w:hint="eastAsia" w:ascii="仿宋_GB2312"/>
          <w:sz w:val="32"/>
          <w:szCs w:val="32"/>
        </w:rPr>
        <w:tab/>
      </w:r>
      <w:r>
        <w:rPr>
          <w:rFonts w:hint="eastAsia" w:ascii="仿宋_GB2312"/>
          <w:sz w:val="32"/>
          <w:szCs w:val="32"/>
        </w:rPr>
        <w:fldChar w:fldCharType="begin"/>
      </w:r>
      <w:r>
        <w:rPr>
          <w:rFonts w:hint="eastAsia" w:ascii="仿宋_GB2312"/>
          <w:sz w:val="32"/>
          <w:szCs w:val="32"/>
        </w:rPr>
        <w:instrText xml:space="preserve"> PAGEREF _Toc78208227 \h </w:instrText>
      </w:r>
      <w:r>
        <w:rPr>
          <w:rFonts w:hint="eastAsia" w:ascii="仿宋_GB2312"/>
          <w:sz w:val="32"/>
          <w:szCs w:val="32"/>
        </w:rPr>
        <w:fldChar w:fldCharType="separate"/>
      </w:r>
      <w:r>
        <w:rPr>
          <w:rFonts w:ascii="仿宋_GB2312"/>
          <w:sz w:val="32"/>
          <w:szCs w:val="32"/>
        </w:rPr>
        <w:t>10</w:t>
      </w:r>
      <w:r>
        <w:rPr>
          <w:rFonts w:hint="eastAsia" w:ascii="仿宋_GB2312"/>
          <w:sz w:val="32"/>
          <w:szCs w:val="32"/>
        </w:rPr>
        <w:fldChar w:fldCharType="end"/>
      </w:r>
      <w:r>
        <w:rPr>
          <w:rFonts w:hint="eastAsia" w:ascii="仿宋_GB2312"/>
          <w:sz w:val="32"/>
          <w:szCs w:val="32"/>
        </w:rPr>
        <w:fldChar w:fldCharType="end"/>
      </w:r>
    </w:p>
    <w:p w14:paraId="1756B4F6">
      <w:pPr>
        <w:pStyle w:val="9"/>
        <w:spacing w:line="580" w:lineRule="exact"/>
        <w:jc w:val="distribute"/>
        <w:rPr>
          <w:rFonts w:ascii="仿宋_GB2312" w:hAnsiTheme="minorHAnsi" w:cstheme="minorBidi"/>
          <w:bCs w:val="0"/>
          <w:kern w:val="2"/>
          <w:sz w:val="22"/>
          <w:szCs w:val="24"/>
        </w:rPr>
      </w:pPr>
      <w:r>
        <w:fldChar w:fldCharType="begin"/>
      </w:r>
      <w:r>
        <w:instrText xml:space="preserve"> HYPERLINK \l "_Toc78208228" </w:instrText>
      </w:r>
      <w:r>
        <w:fldChar w:fldCharType="separate"/>
      </w:r>
      <w:r>
        <w:rPr>
          <w:rStyle w:val="15"/>
          <w:rFonts w:hint="eastAsia" w:ascii="仿宋_GB2312" w:hAnsi="黑体" w:cs="宋体"/>
          <w:sz w:val="32"/>
          <w:szCs w:val="32"/>
        </w:rPr>
        <w:t>二、项目建设地点</w:t>
      </w:r>
      <w:r>
        <w:rPr>
          <w:rFonts w:hint="eastAsia" w:ascii="仿宋_GB2312"/>
          <w:sz w:val="32"/>
          <w:szCs w:val="32"/>
        </w:rPr>
        <w:tab/>
      </w:r>
      <w:r>
        <w:rPr>
          <w:rFonts w:hint="eastAsia" w:ascii="仿宋_GB2312"/>
          <w:sz w:val="32"/>
          <w:szCs w:val="32"/>
        </w:rPr>
        <w:fldChar w:fldCharType="begin"/>
      </w:r>
      <w:r>
        <w:rPr>
          <w:rFonts w:hint="eastAsia" w:ascii="仿宋_GB2312"/>
          <w:sz w:val="32"/>
          <w:szCs w:val="32"/>
        </w:rPr>
        <w:instrText xml:space="preserve"> PAGEREF _Toc78208228 \h </w:instrText>
      </w:r>
      <w:r>
        <w:rPr>
          <w:rFonts w:hint="eastAsia" w:ascii="仿宋_GB2312"/>
          <w:sz w:val="32"/>
          <w:szCs w:val="32"/>
        </w:rPr>
        <w:fldChar w:fldCharType="separate"/>
      </w:r>
      <w:r>
        <w:rPr>
          <w:rFonts w:ascii="仿宋_GB2312"/>
          <w:sz w:val="32"/>
          <w:szCs w:val="32"/>
        </w:rPr>
        <w:t>10</w:t>
      </w:r>
      <w:r>
        <w:rPr>
          <w:rFonts w:hint="eastAsia" w:ascii="仿宋_GB2312"/>
          <w:sz w:val="32"/>
          <w:szCs w:val="32"/>
        </w:rPr>
        <w:fldChar w:fldCharType="end"/>
      </w:r>
      <w:r>
        <w:rPr>
          <w:rFonts w:hint="eastAsia" w:ascii="仿宋_GB2312"/>
          <w:sz w:val="32"/>
          <w:szCs w:val="32"/>
        </w:rPr>
        <w:fldChar w:fldCharType="end"/>
      </w:r>
    </w:p>
    <w:p w14:paraId="7B9DE6E4">
      <w:pPr>
        <w:pStyle w:val="9"/>
        <w:spacing w:line="580" w:lineRule="exact"/>
        <w:jc w:val="distribute"/>
        <w:rPr>
          <w:rFonts w:ascii="仿宋_GB2312" w:hAnsiTheme="minorHAnsi" w:cstheme="minorBidi"/>
          <w:bCs w:val="0"/>
          <w:kern w:val="2"/>
          <w:sz w:val="22"/>
          <w:szCs w:val="24"/>
        </w:rPr>
      </w:pPr>
      <w:r>
        <w:fldChar w:fldCharType="begin"/>
      </w:r>
      <w:r>
        <w:instrText xml:space="preserve"> HYPERLINK \l "_Toc78208229" </w:instrText>
      </w:r>
      <w:r>
        <w:fldChar w:fldCharType="separate"/>
      </w:r>
      <w:r>
        <w:rPr>
          <w:rStyle w:val="15"/>
          <w:rFonts w:hint="eastAsia" w:ascii="仿宋_GB2312" w:hAnsi="黑体" w:cs="宋体"/>
          <w:sz w:val="32"/>
          <w:szCs w:val="32"/>
        </w:rPr>
        <w:t>三、项目产品方案</w:t>
      </w:r>
      <w:r>
        <w:rPr>
          <w:rFonts w:hint="eastAsia" w:ascii="仿宋_GB2312"/>
          <w:sz w:val="32"/>
          <w:szCs w:val="32"/>
        </w:rPr>
        <w:tab/>
      </w:r>
      <w:r>
        <w:rPr>
          <w:rFonts w:hint="eastAsia" w:ascii="仿宋_GB2312"/>
          <w:sz w:val="32"/>
          <w:szCs w:val="32"/>
        </w:rPr>
        <w:fldChar w:fldCharType="begin"/>
      </w:r>
      <w:r>
        <w:rPr>
          <w:rFonts w:hint="eastAsia" w:ascii="仿宋_GB2312"/>
          <w:sz w:val="32"/>
          <w:szCs w:val="32"/>
        </w:rPr>
        <w:instrText xml:space="preserve"> PAGEREF _Toc78208229 \h </w:instrText>
      </w:r>
      <w:r>
        <w:rPr>
          <w:rFonts w:hint="eastAsia" w:ascii="仿宋_GB2312"/>
          <w:sz w:val="32"/>
          <w:szCs w:val="32"/>
        </w:rPr>
        <w:fldChar w:fldCharType="separate"/>
      </w:r>
      <w:r>
        <w:rPr>
          <w:rFonts w:ascii="仿宋_GB2312"/>
          <w:sz w:val="32"/>
          <w:szCs w:val="32"/>
        </w:rPr>
        <w:t>11</w:t>
      </w:r>
      <w:r>
        <w:rPr>
          <w:rFonts w:hint="eastAsia" w:ascii="仿宋_GB2312"/>
          <w:sz w:val="32"/>
          <w:szCs w:val="32"/>
        </w:rPr>
        <w:fldChar w:fldCharType="end"/>
      </w:r>
      <w:r>
        <w:rPr>
          <w:rFonts w:hint="eastAsia" w:ascii="仿宋_GB2312"/>
          <w:sz w:val="32"/>
          <w:szCs w:val="32"/>
        </w:rPr>
        <w:fldChar w:fldCharType="end"/>
      </w:r>
    </w:p>
    <w:p w14:paraId="25D338D5">
      <w:pPr>
        <w:pStyle w:val="9"/>
        <w:spacing w:line="580" w:lineRule="exact"/>
        <w:jc w:val="distribute"/>
        <w:rPr>
          <w:rFonts w:ascii="仿宋_GB2312" w:hAnsiTheme="minorHAnsi" w:cstheme="minorBidi"/>
          <w:bCs w:val="0"/>
          <w:kern w:val="2"/>
          <w:sz w:val="22"/>
          <w:szCs w:val="24"/>
        </w:rPr>
      </w:pPr>
      <w:r>
        <w:fldChar w:fldCharType="begin"/>
      </w:r>
      <w:r>
        <w:instrText xml:space="preserve"> HYPERLINK \l "_Toc78208230" </w:instrText>
      </w:r>
      <w:r>
        <w:fldChar w:fldCharType="separate"/>
      </w:r>
      <w:r>
        <w:rPr>
          <w:rStyle w:val="15"/>
          <w:rFonts w:hint="eastAsia" w:ascii="仿宋_GB2312" w:hAnsi="黑体" w:cs="宋体"/>
          <w:sz w:val="32"/>
          <w:szCs w:val="32"/>
        </w:rPr>
        <w:t>四、项目建设内容</w:t>
      </w:r>
      <w:r>
        <w:rPr>
          <w:rFonts w:hint="eastAsia" w:ascii="仿宋_GB2312"/>
          <w:sz w:val="32"/>
          <w:szCs w:val="32"/>
        </w:rPr>
        <w:tab/>
      </w:r>
      <w:r>
        <w:rPr>
          <w:rFonts w:hint="eastAsia" w:ascii="仿宋_GB2312"/>
          <w:sz w:val="32"/>
          <w:szCs w:val="32"/>
        </w:rPr>
        <w:fldChar w:fldCharType="begin"/>
      </w:r>
      <w:r>
        <w:rPr>
          <w:rFonts w:hint="eastAsia" w:ascii="仿宋_GB2312"/>
          <w:sz w:val="32"/>
          <w:szCs w:val="32"/>
        </w:rPr>
        <w:instrText xml:space="preserve"> PAGEREF _Toc78208230 \h </w:instrText>
      </w:r>
      <w:r>
        <w:rPr>
          <w:rFonts w:hint="eastAsia" w:ascii="仿宋_GB2312"/>
          <w:sz w:val="32"/>
          <w:szCs w:val="32"/>
        </w:rPr>
        <w:fldChar w:fldCharType="separate"/>
      </w:r>
      <w:r>
        <w:rPr>
          <w:rFonts w:ascii="仿宋_GB2312"/>
          <w:sz w:val="32"/>
          <w:szCs w:val="32"/>
        </w:rPr>
        <w:t>12</w:t>
      </w:r>
      <w:r>
        <w:rPr>
          <w:rFonts w:hint="eastAsia" w:ascii="仿宋_GB2312"/>
          <w:sz w:val="32"/>
          <w:szCs w:val="32"/>
        </w:rPr>
        <w:fldChar w:fldCharType="end"/>
      </w:r>
      <w:r>
        <w:rPr>
          <w:rFonts w:hint="eastAsia" w:ascii="仿宋_GB2312"/>
          <w:sz w:val="32"/>
          <w:szCs w:val="32"/>
        </w:rPr>
        <w:fldChar w:fldCharType="end"/>
      </w:r>
    </w:p>
    <w:p w14:paraId="0D0CC697">
      <w:pPr>
        <w:pStyle w:val="8"/>
        <w:spacing w:line="580" w:lineRule="exact"/>
        <w:jc w:val="distribute"/>
        <w:rPr>
          <w:rFonts w:ascii="仿宋_GB2312" w:hAnsiTheme="minorHAnsi" w:cstheme="minorBidi"/>
          <w:b w:val="0"/>
          <w:bCs w:val="0"/>
          <w:kern w:val="2"/>
          <w:sz w:val="22"/>
          <w:szCs w:val="24"/>
        </w:rPr>
      </w:pPr>
      <w:r>
        <w:fldChar w:fldCharType="begin"/>
      </w:r>
      <w:r>
        <w:instrText xml:space="preserve"> HYPERLINK \l "_Toc78208231" </w:instrText>
      </w:r>
      <w:r>
        <w:fldChar w:fldCharType="separate"/>
      </w:r>
      <w:r>
        <w:rPr>
          <w:rStyle w:val="15"/>
          <w:rFonts w:hint="eastAsia" w:ascii="仿宋_GB2312" w:hAnsi="宋体" w:cs="宋体"/>
          <w:sz w:val="32"/>
          <w:szCs w:val="32"/>
        </w:rPr>
        <w:t>第四章 项目市场分析</w:t>
      </w:r>
      <w:r>
        <w:rPr>
          <w:rFonts w:hint="eastAsia" w:ascii="仿宋_GB2312"/>
          <w:sz w:val="32"/>
          <w:szCs w:val="32"/>
        </w:rPr>
        <w:tab/>
      </w:r>
      <w:r>
        <w:rPr>
          <w:rFonts w:hint="eastAsia" w:ascii="仿宋_GB2312"/>
          <w:sz w:val="32"/>
          <w:szCs w:val="32"/>
        </w:rPr>
        <w:fldChar w:fldCharType="begin"/>
      </w:r>
      <w:r>
        <w:rPr>
          <w:rFonts w:hint="eastAsia" w:ascii="仿宋_GB2312"/>
          <w:sz w:val="32"/>
          <w:szCs w:val="32"/>
        </w:rPr>
        <w:instrText xml:space="preserve"> PAGEREF _Toc78208231 \h </w:instrText>
      </w:r>
      <w:r>
        <w:rPr>
          <w:rFonts w:hint="eastAsia" w:ascii="仿宋_GB2312"/>
          <w:sz w:val="32"/>
          <w:szCs w:val="32"/>
        </w:rPr>
        <w:fldChar w:fldCharType="separate"/>
      </w:r>
      <w:r>
        <w:rPr>
          <w:rFonts w:ascii="仿宋_GB2312"/>
          <w:sz w:val="32"/>
          <w:szCs w:val="32"/>
        </w:rPr>
        <w:t>13</w:t>
      </w:r>
      <w:r>
        <w:rPr>
          <w:rFonts w:hint="eastAsia" w:ascii="仿宋_GB2312"/>
          <w:sz w:val="32"/>
          <w:szCs w:val="32"/>
        </w:rPr>
        <w:fldChar w:fldCharType="end"/>
      </w:r>
      <w:r>
        <w:rPr>
          <w:rFonts w:hint="eastAsia" w:ascii="仿宋_GB2312"/>
          <w:sz w:val="32"/>
          <w:szCs w:val="32"/>
        </w:rPr>
        <w:fldChar w:fldCharType="end"/>
      </w:r>
    </w:p>
    <w:p w14:paraId="5089F286">
      <w:pPr>
        <w:pStyle w:val="9"/>
        <w:spacing w:line="580" w:lineRule="exact"/>
        <w:jc w:val="distribute"/>
        <w:rPr>
          <w:rFonts w:ascii="仿宋_GB2312" w:hAnsiTheme="minorHAnsi" w:cstheme="minorBidi"/>
          <w:bCs w:val="0"/>
          <w:kern w:val="2"/>
          <w:sz w:val="22"/>
          <w:szCs w:val="24"/>
        </w:rPr>
      </w:pPr>
      <w:r>
        <w:fldChar w:fldCharType="begin"/>
      </w:r>
      <w:r>
        <w:instrText xml:space="preserve"> HYPERLINK \l "_Toc78208232" </w:instrText>
      </w:r>
      <w:r>
        <w:fldChar w:fldCharType="separate"/>
      </w:r>
      <w:r>
        <w:rPr>
          <w:rStyle w:val="15"/>
          <w:rFonts w:hint="eastAsia" w:ascii="仿宋_GB2312" w:hAnsi="黑体" w:cs="宋体"/>
          <w:sz w:val="32"/>
          <w:szCs w:val="32"/>
        </w:rPr>
        <w:t>一、市场现状</w:t>
      </w:r>
      <w:r>
        <w:rPr>
          <w:rFonts w:hint="eastAsia" w:ascii="仿宋_GB2312"/>
          <w:sz w:val="32"/>
          <w:szCs w:val="32"/>
        </w:rPr>
        <w:tab/>
      </w:r>
      <w:r>
        <w:rPr>
          <w:rFonts w:hint="eastAsia" w:ascii="仿宋_GB2312"/>
          <w:sz w:val="32"/>
          <w:szCs w:val="32"/>
        </w:rPr>
        <w:fldChar w:fldCharType="begin"/>
      </w:r>
      <w:r>
        <w:rPr>
          <w:rFonts w:hint="eastAsia" w:ascii="仿宋_GB2312"/>
          <w:sz w:val="32"/>
          <w:szCs w:val="32"/>
        </w:rPr>
        <w:instrText xml:space="preserve"> PAGEREF _Toc78208232 \h </w:instrText>
      </w:r>
      <w:r>
        <w:rPr>
          <w:rFonts w:hint="eastAsia" w:ascii="仿宋_GB2312"/>
          <w:sz w:val="32"/>
          <w:szCs w:val="32"/>
        </w:rPr>
        <w:fldChar w:fldCharType="separate"/>
      </w:r>
      <w:r>
        <w:rPr>
          <w:rFonts w:ascii="仿宋_GB2312"/>
          <w:sz w:val="32"/>
          <w:szCs w:val="32"/>
        </w:rPr>
        <w:t>13</w:t>
      </w:r>
      <w:r>
        <w:rPr>
          <w:rFonts w:hint="eastAsia" w:ascii="仿宋_GB2312"/>
          <w:sz w:val="32"/>
          <w:szCs w:val="32"/>
        </w:rPr>
        <w:fldChar w:fldCharType="end"/>
      </w:r>
      <w:r>
        <w:rPr>
          <w:rFonts w:hint="eastAsia" w:ascii="仿宋_GB2312"/>
          <w:sz w:val="32"/>
          <w:szCs w:val="32"/>
        </w:rPr>
        <w:fldChar w:fldCharType="end"/>
      </w:r>
    </w:p>
    <w:p w14:paraId="00B89022">
      <w:pPr>
        <w:pStyle w:val="9"/>
        <w:spacing w:line="580" w:lineRule="exact"/>
        <w:jc w:val="distribute"/>
        <w:rPr>
          <w:rFonts w:ascii="仿宋_GB2312" w:hAnsiTheme="minorHAnsi" w:cstheme="minorBidi"/>
          <w:kern w:val="2"/>
          <w:sz w:val="22"/>
          <w:szCs w:val="24"/>
        </w:rPr>
      </w:pPr>
      <w:r>
        <w:fldChar w:fldCharType="begin"/>
      </w:r>
      <w:r>
        <w:instrText xml:space="preserve"> HYPERLINK \l "_Toc78208233" </w:instrText>
      </w:r>
      <w:r>
        <w:fldChar w:fldCharType="separate"/>
      </w:r>
      <w:r>
        <w:rPr>
          <w:rStyle w:val="15"/>
          <w:rFonts w:hint="eastAsia" w:ascii="仿宋_GB2312" w:hAnsi="楷体" w:cs="宋体"/>
          <w:sz w:val="32"/>
          <w:szCs w:val="32"/>
        </w:rPr>
        <w:t>（一）全国泵业市场现状</w:t>
      </w:r>
      <w:r>
        <w:rPr>
          <w:rFonts w:hint="eastAsia" w:ascii="仿宋_GB2312"/>
          <w:sz w:val="32"/>
          <w:szCs w:val="32"/>
        </w:rPr>
        <w:tab/>
      </w:r>
      <w:r>
        <w:rPr>
          <w:rFonts w:hint="eastAsia" w:ascii="仿宋_GB2312"/>
          <w:sz w:val="32"/>
          <w:szCs w:val="32"/>
        </w:rPr>
        <w:fldChar w:fldCharType="begin"/>
      </w:r>
      <w:r>
        <w:rPr>
          <w:rFonts w:hint="eastAsia" w:ascii="仿宋_GB2312"/>
          <w:sz w:val="32"/>
          <w:szCs w:val="32"/>
        </w:rPr>
        <w:instrText xml:space="preserve"> PAGEREF _Toc78208233 \h </w:instrText>
      </w:r>
      <w:r>
        <w:rPr>
          <w:rFonts w:hint="eastAsia" w:ascii="仿宋_GB2312"/>
          <w:sz w:val="32"/>
          <w:szCs w:val="32"/>
        </w:rPr>
        <w:fldChar w:fldCharType="separate"/>
      </w:r>
      <w:r>
        <w:rPr>
          <w:rFonts w:ascii="仿宋_GB2312"/>
          <w:sz w:val="32"/>
          <w:szCs w:val="32"/>
        </w:rPr>
        <w:t>13</w:t>
      </w:r>
      <w:r>
        <w:rPr>
          <w:rFonts w:hint="eastAsia" w:ascii="仿宋_GB2312"/>
          <w:sz w:val="32"/>
          <w:szCs w:val="32"/>
        </w:rPr>
        <w:fldChar w:fldCharType="end"/>
      </w:r>
      <w:r>
        <w:rPr>
          <w:rFonts w:hint="eastAsia" w:ascii="仿宋_GB2312"/>
          <w:sz w:val="32"/>
          <w:szCs w:val="32"/>
        </w:rPr>
        <w:fldChar w:fldCharType="end"/>
      </w:r>
    </w:p>
    <w:p w14:paraId="12B426AF">
      <w:pPr>
        <w:pStyle w:val="9"/>
        <w:spacing w:line="580" w:lineRule="exact"/>
        <w:jc w:val="distribute"/>
        <w:rPr>
          <w:rFonts w:ascii="仿宋_GB2312" w:hAnsiTheme="minorHAnsi" w:cstheme="minorBidi"/>
          <w:kern w:val="2"/>
          <w:sz w:val="22"/>
          <w:szCs w:val="24"/>
        </w:rPr>
      </w:pPr>
      <w:r>
        <w:fldChar w:fldCharType="begin"/>
      </w:r>
      <w:r>
        <w:instrText xml:space="preserve"> HYPERLINK \l "_Toc78208234" </w:instrText>
      </w:r>
      <w:r>
        <w:fldChar w:fldCharType="separate"/>
      </w:r>
      <w:r>
        <w:rPr>
          <w:rStyle w:val="15"/>
          <w:rFonts w:hint="eastAsia" w:ascii="仿宋_GB2312" w:hAnsi="楷体" w:cs="宋体"/>
          <w:sz w:val="32"/>
          <w:szCs w:val="32"/>
        </w:rPr>
        <w:t>（二）全国工业阀门市场现状</w:t>
      </w:r>
      <w:r>
        <w:rPr>
          <w:rFonts w:hint="eastAsia" w:ascii="仿宋_GB2312"/>
          <w:sz w:val="32"/>
          <w:szCs w:val="32"/>
        </w:rPr>
        <w:tab/>
      </w:r>
      <w:r>
        <w:rPr>
          <w:rFonts w:hint="eastAsia" w:ascii="仿宋_GB2312"/>
          <w:sz w:val="32"/>
          <w:szCs w:val="32"/>
        </w:rPr>
        <w:fldChar w:fldCharType="begin"/>
      </w:r>
      <w:r>
        <w:rPr>
          <w:rFonts w:hint="eastAsia" w:ascii="仿宋_GB2312"/>
          <w:sz w:val="32"/>
          <w:szCs w:val="32"/>
        </w:rPr>
        <w:instrText xml:space="preserve"> PAGEREF _Toc78208234 \h </w:instrText>
      </w:r>
      <w:r>
        <w:rPr>
          <w:rFonts w:hint="eastAsia" w:ascii="仿宋_GB2312"/>
          <w:sz w:val="32"/>
          <w:szCs w:val="32"/>
        </w:rPr>
        <w:fldChar w:fldCharType="separate"/>
      </w:r>
      <w:r>
        <w:rPr>
          <w:rFonts w:ascii="仿宋_GB2312"/>
          <w:sz w:val="32"/>
          <w:szCs w:val="32"/>
        </w:rPr>
        <w:t>16</w:t>
      </w:r>
      <w:r>
        <w:rPr>
          <w:rFonts w:hint="eastAsia" w:ascii="仿宋_GB2312"/>
          <w:sz w:val="32"/>
          <w:szCs w:val="32"/>
        </w:rPr>
        <w:fldChar w:fldCharType="end"/>
      </w:r>
      <w:r>
        <w:rPr>
          <w:rFonts w:hint="eastAsia" w:ascii="仿宋_GB2312"/>
          <w:sz w:val="32"/>
          <w:szCs w:val="32"/>
        </w:rPr>
        <w:fldChar w:fldCharType="end"/>
      </w:r>
    </w:p>
    <w:p w14:paraId="05E07C55">
      <w:pPr>
        <w:pStyle w:val="9"/>
        <w:spacing w:line="580" w:lineRule="exact"/>
        <w:jc w:val="distribute"/>
        <w:rPr>
          <w:rFonts w:ascii="仿宋_GB2312" w:hAnsiTheme="minorHAnsi" w:cstheme="minorBidi"/>
          <w:bCs w:val="0"/>
          <w:kern w:val="2"/>
          <w:sz w:val="22"/>
          <w:szCs w:val="24"/>
        </w:rPr>
      </w:pPr>
      <w:r>
        <w:fldChar w:fldCharType="begin"/>
      </w:r>
      <w:r>
        <w:instrText xml:space="preserve"> HYPERLINK \l "_Toc78208235" </w:instrText>
      </w:r>
      <w:r>
        <w:fldChar w:fldCharType="separate"/>
      </w:r>
      <w:r>
        <w:rPr>
          <w:rStyle w:val="15"/>
          <w:rFonts w:hint="eastAsia" w:ascii="仿宋_GB2312" w:hAnsi="黑体" w:cs="宋体"/>
          <w:sz w:val="32"/>
          <w:szCs w:val="32"/>
        </w:rPr>
        <w:t>二、市场前景</w:t>
      </w:r>
      <w:r>
        <w:rPr>
          <w:rFonts w:hint="eastAsia" w:ascii="仿宋_GB2312"/>
          <w:sz w:val="32"/>
          <w:szCs w:val="32"/>
        </w:rPr>
        <w:tab/>
      </w:r>
      <w:r>
        <w:rPr>
          <w:rFonts w:hint="eastAsia" w:ascii="仿宋_GB2312"/>
          <w:sz w:val="32"/>
          <w:szCs w:val="32"/>
        </w:rPr>
        <w:fldChar w:fldCharType="begin"/>
      </w:r>
      <w:r>
        <w:rPr>
          <w:rFonts w:hint="eastAsia" w:ascii="仿宋_GB2312"/>
          <w:sz w:val="32"/>
          <w:szCs w:val="32"/>
        </w:rPr>
        <w:instrText xml:space="preserve"> PAGEREF _Toc78208235 \h </w:instrText>
      </w:r>
      <w:r>
        <w:rPr>
          <w:rFonts w:hint="eastAsia" w:ascii="仿宋_GB2312"/>
          <w:sz w:val="32"/>
          <w:szCs w:val="32"/>
        </w:rPr>
        <w:fldChar w:fldCharType="separate"/>
      </w:r>
      <w:r>
        <w:rPr>
          <w:rFonts w:ascii="仿宋_GB2312"/>
          <w:sz w:val="32"/>
          <w:szCs w:val="32"/>
        </w:rPr>
        <w:t>19</w:t>
      </w:r>
      <w:r>
        <w:rPr>
          <w:rFonts w:hint="eastAsia" w:ascii="仿宋_GB2312"/>
          <w:sz w:val="32"/>
          <w:szCs w:val="32"/>
        </w:rPr>
        <w:fldChar w:fldCharType="end"/>
      </w:r>
      <w:r>
        <w:rPr>
          <w:rFonts w:hint="eastAsia" w:ascii="仿宋_GB2312"/>
          <w:sz w:val="32"/>
          <w:szCs w:val="32"/>
        </w:rPr>
        <w:fldChar w:fldCharType="end"/>
      </w:r>
    </w:p>
    <w:p w14:paraId="199AB19A">
      <w:pPr>
        <w:pStyle w:val="8"/>
        <w:spacing w:line="580" w:lineRule="exact"/>
        <w:jc w:val="distribute"/>
        <w:rPr>
          <w:rFonts w:ascii="仿宋_GB2312" w:hAnsiTheme="minorHAnsi" w:cstheme="minorBidi"/>
          <w:b w:val="0"/>
          <w:bCs w:val="0"/>
          <w:kern w:val="2"/>
          <w:sz w:val="22"/>
          <w:szCs w:val="24"/>
        </w:rPr>
      </w:pPr>
      <w:r>
        <w:fldChar w:fldCharType="begin"/>
      </w:r>
      <w:r>
        <w:instrText xml:space="preserve"> HYPERLINK \l "_Toc78208236" </w:instrText>
      </w:r>
      <w:r>
        <w:fldChar w:fldCharType="separate"/>
      </w:r>
      <w:r>
        <w:rPr>
          <w:rStyle w:val="15"/>
          <w:rFonts w:hint="eastAsia" w:ascii="仿宋_GB2312" w:hAnsi="宋体" w:cs="宋体"/>
          <w:sz w:val="32"/>
          <w:szCs w:val="32"/>
        </w:rPr>
        <w:t>第五章 项目盈利能力</w:t>
      </w:r>
      <w:r>
        <w:rPr>
          <w:rFonts w:hint="eastAsia" w:ascii="仿宋_GB2312"/>
          <w:sz w:val="32"/>
          <w:szCs w:val="32"/>
        </w:rPr>
        <w:tab/>
      </w:r>
      <w:r>
        <w:rPr>
          <w:rFonts w:hint="eastAsia" w:ascii="仿宋_GB2312"/>
          <w:sz w:val="32"/>
          <w:szCs w:val="32"/>
        </w:rPr>
        <w:fldChar w:fldCharType="begin"/>
      </w:r>
      <w:r>
        <w:rPr>
          <w:rFonts w:hint="eastAsia" w:ascii="仿宋_GB2312"/>
          <w:sz w:val="32"/>
          <w:szCs w:val="32"/>
        </w:rPr>
        <w:instrText xml:space="preserve"> PAGEREF _Toc78208236 \h </w:instrText>
      </w:r>
      <w:r>
        <w:rPr>
          <w:rFonts w:hint="eastAsia" w:ascii="仿宋_GB2312"/>
          <w:sz w:val="32"/>
          <w:szCs w:val="32"/>
        </w:rPr>
        <w:fldChar w:fldCharType="separate"/>
      </w:r>
      <w:r>
        <w:rPr>
          <w:rFonts w:ascii="仿宋_GB2312"/>
          <w:sz w:val="32"/>
          <w:szCs w:val="32"/>
        </w:rPr>
        <w:t>20</w:t>
      </w:r>
      <w:r>
        <w:rPr>
          <w:rFonts w:hint="eastAsia" w:ascii="仿宋_GB2312"/>
          <w:sz w:val="32"/>
          <w:szCs w:val="32"/>
        </w:rPr>
        <w:fldChar w:fldCharType="end"/>
      </w:r>
      <w:r>
        <w:rPr>
          <w:rFonts w:hint="eastAsia" w:ascii="仿宋_GB2312"/>
          <w:sz w:val="32"/>
          <w:szCs w:val="32"/>
        </w:rPr>
        <w:fldChar w:fldCharType="end"/>
      </w:r>
    </w:p>
    <w:p w14:paraId="1AB93483">
      <w:pPr>
        <w:pStyle w:val="9"/>
        <w:spacing w:line="580" w:lineRule="exact"/>
        <w:jc w:val="distribute"/>
        <w:rPr>
          <w:rFonts w:ascii="仿宋_GB2312" w:hAnsiTheme="minorHAnsi" w:cstheme="minorBidi"/>
          <w:bCs w:val="0"/>
          <w:kern w:val="2"/>
          <w:sz w:val="22"/>
          <w:szCs w:val="24"/>
        </w:rPr>
      </w:pPr>
      <w:r>
        <w:fldChar w:fldCharType="begin"/>
      </w:r>
      <w:r>
        <w:instrText xml:space="preserve"> HYPERLINK \l "_Toc78208237" </w:instrText>
      </w:r>
      <w:r>
        <w:fldChar w:fldCharType="separate"/>
      </w:r>
      <w:r>
        <w:rPr>
          <w:rStyle w:val="15"/>
          <w:rFonts w:hint="eastAsia" w:ascii="仿宋_GB2312" w:hAnsi="黑体" w:cs="宋体"/>
          <w:sz w:val="32"/>
          <w:szCs w:val="32"/>
        </w:rPr>
        <w:t>一、项目投资测算</w:t>
      </w:r>
      <w:r>
        <w:rPr>
          <w:rFonts w:hint="eastAsia" w:ascii="仿宋_GB2312"/>
          <w:sz w:val="32"/>
          <w:szCs w:val="32"/>
        </w:rPr>
        <w:tab/>
      </w:r>
      <w:r>
        <w:rPr>
          <w:rFonts w:hint="eastAsia" w:ascii="仿宋_GB2312"/>
          <w:sz w:val="32"/>
          <w:szCs w:val="32"/>
        </w:rPr>
        <w:fldChar w:fldCharType="begin"/>
      </w:r>
      <w:r>
        <w:rPr>
          <w:rFonts w:hint="eastAsia" w:ascii="仿宋_GB2312"/>
          <w:sz w:val="32"/>
          <w:szCs w:val="32"/>
        </w:rPr>
        <w:instrText xml:space="preserve"> PAGEREF _Toc78208237 \h </w:instrText>
      </w:r>
      <w:r>
        <w:rPr>
          <w:rFonts w:hint="eastAsia" w:ascii="仿宋_GB2312"/>
          <w:sz w:val="32"/>
          <w:szCs w:val="32"/>
        </w:rPr>
        <w:fldChar w:fldCharType="separate"/>
      </w:r>
      <w:r>
        <w:rPr>
          <w:rFonts w:ascii="仿宋_GB2312"/>
          <w:sz w:val="32"/>
          <w:szCs w:val="32"/>
        </w:rPr>
        <w:t>20</w:t>
      </w:r>
      <w:r>
        <w:rPr>
          <w:rFonts w:hint="eastAsia" w:ascii="仿宋_GB2312"/>
          <w:sz w:val="32"/>
          <w:szCs w:val="32"/>
        </w:rPr>
        <w:fldChar w:fldCharType="end"/>
      </w:r>
      <w:r>
        <w:rPr>
          <w:rFonts w:hint="eastAsia" w:ascii="仿宋_GB2312"/>
          <w:sz w:val="32"/>
          <w:szCs w:val="32"/>
        </w:rPr>
        <w:fldChar w:fldCharType="end"/>
      </w:r>
    </w:p>
    <w:p w14:paraId="53571F47">
      <w:pPr>
        <w:pStyle w:val="9"/>
        <w:spacing w:line="580" w:lineRule="exact"/>
        <w:jc w:val="distribute"/>
        <w:rPr>
          <w:rFonts w:ascii="仿宋_GB2312" w:hAnsiTheme="minorHAnsi" w:cstheme="minorBidi"/>
          <w:bCs w:val="0"/>
          <w:kern w:val="2"/>
          <w:sz w:val="22"/>
          <w:szCs w:val="24"/>
        </w:rPr>
      </w:pPr>
      <w:r>
        <w:fldChar w:fldCharType="begin"/>
      </w:r>
      <w:r>
        <w:instrText xml:space="preserve"> HYPERLINK \l "_Toc78208238" </w:instrText>
      </w:r>
      <w:r>
        <w:fldChar w:fldCharType="separate"/>
      </w:r>
      <w:r>
        <w:rPr>
          <w:rStyle w:val="15"/>
          <w:rFonts w:hint="eastAsia" w:ascii="仿宋_GB2312" w:hAnsi="黑体" w:cs="宋体"/>
          <w:sz w:val="32"/>
          <w:szCs w:val="32"/>
        </w:rPr>
        <w:t>二、项目效益分析</w:t>
      </w:r>
      <w:r>
        <w:rPr>
          <w:rFonts w:hint="eastAsia" w:ascii="仿宋_GB2312"/>
          <w:sz w:val="32"/>
          <w:szCs w:val="32"/>
        </w:rPr>
        <w:tab/>
      </w:r>
      <w:r>
        <w:rPr>
          <w:rFonts w:hint="eastAsia" w:ascii="仿宋_GB2312"/>
          <w:sz w:val="32"/>
          <w:szCs w:val="32"/>
        </w:rPr>
        <w:fldChar w:fldCharType="begin"/>
      </w:r>
      <w:r>
        <w:rPr>
          <w:rFonts w:hint="eastAsia" w:ascii="仿宋_GB2312"/>
          <w:sz w:val="32"/>
          <w:szCs w:val="32"/>
        </w:rPr>
        <w:instrText xml:space="preserve"> PAGEREF _Toc78208238 \h </w:instrText>
      </w:r>
      <w:r>
        <w:rPr>
          <w:rFonts w:hint="eastAsia" w:ascii="仿宋_GB2312"/>
          <w:sz w:val="32"/>
          <w:szCs w:val="32"/>
        </w:rPr>
        <w:fldChar w:fldCharType="separate"/>
      </w:r>
      <w:r>
        <w:rPr>
          <w:rFonts w:ascii="仿宋_GB2312"/>
          <w:sz w:val="32"/>
          <w:szCs w:val="32"/>
        </w:rPr>
        <w:t>21</w:t>
      </w:r>
      <w:r>
        <w:rPr>
          <w:rFonts w:hint="eastAsia" w:ascii="仿宋_GB2312"/>
          <w:sz w:val="32"/>
          <w:szCs w:val="32"/>
        </w:rPr>
        <w:fldChar w:fldCharType="end"/>
      </w:r>
      <w:r>
        <w:rPr>
          <w:rFonts w:hint="eastAsia" w:ascii="仿宋_GB2312"/>
          <w:sz w:val="32"/>
          <w:szCs w:val="32"/>
        </w:rPr>
        <w:fldChar w:fldCharType="end"/>
      </w:r>
    </w:p>
    <w:p w14:paraId="539239F2">
      <w:pPr>
        <w:pStyle w:val="9"/>
        <w:spacing w:line="580" w:lineRule="exact"/>
        <w:jc w:val="distribute"/>
        <w:rPr>
          <w:rFonts w:ascii="仿宋_GB2312" w:hAnsiTheme="minorHAnsi" w:cstheme="minorBidi"/>
          <w:bCs w:val="0"/>
          <w:kern w:val="2"/>
          <w:sz w:val="22"/>
          <w:szCs w:val="24"/>
        </w:rPr>
      </w:pPr>
      <w:r>
        <w:fldChar w:fldCharType="begin"/>
      </w:r>
      <w:r>
        <w:instrText xml:space="preserve"> HYPERLINK \l "_Toc78208239" </w:instrText>
      </w:r>
      <w:r>
        <w:fldChar w:fldCharType="separate"/>
      </w:r>
      <w:r>
        <w:rPr>
          <w:rStyle w:val="15"/>
          <w:rFonts w:hint="eastAsia" w:ascii="仿宋_GB2312" w:hAnsi="黑体" w:cs="宋体"/>
          <w:sz w:val="32"/>
          <w:szCs w:val="32"/>
        </w:rPr>
        <w:t>三、项目投资回收期</w:t>
      </w:r>
      <w:r>
        <w:rPr>
          <w:rFonts w:hint="eastAsia" w:ascii="仿宋_GB2312"/>
          <w:sz w:val="32"/>
          <w:szCs w:val="32"/>
        </w:rPr>
        <w:tab/>
      </w:r>
      <w:r>
        <w:rPr>
          <w:rFonts w:hint="eastAsia" w:ascii="仿宋_GB2312"/>
          <w:sz w:val="32"/>
          <w:szCs w:val="32"/>
        </w:rPr>
        <w:fldChar w:fldCharType="begin"/>
      </w:r>
      <w:r>
        <w:rPr>
          <w:rFonts w:hint="eastAsia" w:ascii="仿宋_GB2312"/>
          <w:sz w:val="32"/>
          <w:szCs w:val="32"/>
        </w:rPr>
        <w:instrText xml:space="preserve"> PAGEREF _Toc78208239 \h </w:instrText>
      </w:r>
      <w:r>
        <w:rPr>
          <w:rFonts w:hint="eastAsia" w:ascii="仿宋_GB2312"/>
          <w:sz w:val="32"/>
          <w:szCs w:val="32"/>
        </w:rPr>
        <w:fldChar w:fldCharType="separate"/>
      </w:r>
      <w:r>
        <w:rPr>
          <w:rFonts w:ascii="仿宋_GB2312"/>
          <w:sz w:val="32"/>
          <w:szCs w:val="32"/>
        </w:rPr>
        <w:t>22</w:t>
      </w:r>
      <w:r>
        <w:rPr>
          <w:rFonts w:hint="eastAsia" w:ascii="仿宋_GB2312"/>
          <w:sz w:val="32"/>
          <w:szCs w:val="32"/>
        </w:rPr>
        <w:fldChar w:fldCharType="end"/>
      </w:r>
      <w:r>
        <w:rPr>
          <w:rFonts w:hint="eastAsia" w:ascii="仿宋_GB2312"/>
          <w:sz w:val="32"/>
          <w:szCs w:val="32"/>
        </w:rPr>
        <w:fldChar w:fldCharType="end"/>
      </w:r>
    </w:p>
    <w:p w14:paraId="60BB947D">
      <w:pPr>
        <w:pStyle w:val="8"/>
        <w:spacing w:line="580" w:lineRule="exact"/>
        <w:jc w:val="distribute"/>
        <w:rPr>
          <w:rFonts w:ascii="仿宋_GB2312" w:hAnsiTheme="minorHAnsi" w:cstheme="minorBidi"/>
          <w:b w:val="0"/>
          <w:bCs w:val="0"/>
          <w:kern w:val="2"/>
          <w:sz w:val="22"/>
          <w:szCs w:val="24"/>
        </w:rPr>
      </w:pPr>
      <w:r>
        <w:fldChar w:fldCharType="begin"/>
      </w:r>
      <w:r>
        <w:instrText xml:space="preserve"> HYPERLINK \l "_Toc78208240" </w:instrText>
      </w:r>
      <w:r>
        <w:fldChar w:fldCharType="separate"/>
      </w:r>
      <w:r>
        <w:rPr>
          <w:rStyle w:val="15"/>
          <w:rFonts w:hint="eastAsia" w:ascii="仿宋_GB2312" w:hAnsi="宋体" w:cs="宋体"/>
          <w:sz w:val="32"/>
          <w:szCs w:val="32"/>
        </w:rPr>
        <w:t>第六章 投资服务保障</w:t>
      </w:r>
      <w:r>
        <w:rPr>
          <w:rFonts w:hint="eastAsia" w:ascii="仿宋_GB2312"/>
          <w:sz w:val="32"/>
          <w:szCs w:val="32"/>
        </w:rPr>
        <w:tab/>
      </w:r>
      <w:r>
        <w:rPr>
          <w:rFonts w:hint="eastAsia" w:ascii="仿宋_GB2312"/>
          <w:sz w:val="32"/>
          <w:szCs w:val="32"/>
        </w:rPr>
        <w:fldChar w:fldCharType="begin"/>
      </w:r>
      <w:r>
        <w:rPr>
          <w:rFonts w:hint="eastAsia" w:ascii="仿宋_GB2312"/>
          <w:sz w:val="32"/>
          <w:szCs w:val="32"/>
        </w:rPr>
        <w:instrText xml:space="preserve"> PAGEREF _Toc78208240 \h </w:instrText>
      </w:r>
      <w:r>
        <w:rPr>
          <w:rFonts w:hint="eastAsia" w:ascii="仿宋_GB2312"/>
          <w:sz w:val="32"/>
          <w:szCs w:val="32"/>
        </w:rPr>
        <w:fldChar w:fldCharType="separate"/>
      </w:r>
      <w:r>
        <w:rPr>
          <w:rFonts w:ascii="仿宋_GB2312"/>
          <w:sz w:val="32"/>
          <w:szCs w:val="32"/>
        </w:rPr>
        <w:t>23</w:t>
      </w:r>
      <w:r>
        <w:rPr>
          <w:rFonts w:hint="eastAsia" w:ascii="仿宋_GB2312"/>
          <w:sz w:val="32"/>
          <w:szCs w:val="32"/>
        </w:rPr>
        <w:fldChar w:fldCharType="end"/>
      </w:r>
      <w:r>
        <w:rPr>
          <w:rFonts w:hint="eastAsia" w:ascii="仿宋_GB2312"/>
          <w:sz w:val="32"/>
          <w:szCs w:val="32"/>
        </w:rPr>
        <w:fldChar w:fldCharType="end"/>
      </w:r>
    </w:p>
    <w:p w14:paraId="4F09F8AC">
      <w:pPr>
        <w:pStyle w:val="9"/>
        <w:spacing w:line="580" w:lineRule="exact"/>
        <w:jc w:val="distribute"/>
        <w:rPr>
          <w:rFonts w:ascii="仿宋_GB2312" w:hAnsiTheme="minorHAnsi" w:cstheme="minorBidi"/>
          <w:bCs w:val="0"/>
          <w:kern w:val="2"/>
          <w:sz w:val="22"/>
          <w:szCs w:val="24"/>
        </w:rPr>
      </w:pPr>
      <w:r>
        <w:fldChar w:fldCharType="begin"/>
      </w:r>
      <w:r>
        <w:instrText xml:space="preserve"> HYPERLINK \l "_Toc78208241" </w:instrText>
      </w:r>
      <w:r>
        <w:fldChar w:fldCharType="separate"/>
      </w:r>
      <w:r>
        <w:rPr>
          <w:rStyle w:val="15"/>
          <w:rFonts w:hint="eastAsia" w:ascii="仿宋_GB2312" w:hAnsi="黑体" w:cs="宋体"/>
          <w:sz w:val="32"/>
          <w:szCs w:val="32"/>
        </w:rPr>
        <w:t>一、招商合作模式</w:t>
      </w:r>
      <w:r>
        <w:rPr>
          <w:rFonts w:hint="eastAsia" w:ascii="仿宋_GB2312"/>
          <w:sz w:val="32"/>
          <w:szCs w:val="32"/>
        </w:rPr>
        <w:tab/>
      </w:r>
      <w:r>
        <w:rPr>
          <w:rFonts w:hint="eastAsia" w:ascii="仿宋_GB2312"/>
          <w:sz w:val="32"/>
          <w:szCs w:val="32"/>
        </w:rPr>
        <w:fldChar w:fldCharType="begin"/>
      </w:r>
      <w:r>
        <w:rPr>
          <w:rFonts w:hint="eastAsia" w:ascii="仿宋_GB2312"/>
          <w:sz w:val="32"/>
          <w:szCs w:val="32"/>
        </w:rPr>
        <w:instrText xml:space="preserve"> PAGEREF _Toc78208241 \h </w:instrText>
      </w:r>
      <w:r>
        <w:rPr>
          <w:rFonts w:hint="eastAsia" w:ascii="仿宋_GB2312"/>
          <w:sz w:val="32"/>
          <w:szCs w:val="32"/>
        </w:rPr>
        <w:fldChar w:fldCharType="separate"/>
      </w:r>
      <w:r>
        <w:rPr>
          <w:rFonts w:ascii="仿宋_GB2312"/>
          <w:sz w:val="32"/>
          <w:szCs w:val="32"/>
        </w:rPr>
        <w:t>23</w:t>
      </w:r>
      <w:r>
        <w:rPr>
          <w:rFonts w:hint="eastAsia" w:ascii="仿宋_GB2312"/>
          <w:sz w:val="32"/>
          <w:szCs w:val="32"/>
        </w:rPr>
        <w:fldChar w:fldCharType="end"/>
      </w:r>
      <w:r>
        <w:rPr>
          <w:rFonts w:hint="eastAsia" w:ascii="仿宋_GB2312"/>
          <w:sz w:val="32"/>
          <w:szCs w:val="32"/>
        </w:rPr>
        <w:fldChar w:fldCharType="end"/>
      </w:r>
    </w:p>
    <w:p w14:paraId="01CB4AD2">
      <w:pPr>
        <w:pStyle w:val="9"/>
        <w:spacing w:line="580" w:lineRule="exact"/>
        <w:jc w:val="distribute"/>
        <w:rPr>
          <w:rFonts w:ascii="仿宋_GB2312" w:hAnsiTheme="minorHAnsi" w:cstheme="minorBidi"/>
          <w:bCs w:val="0"/>
          <w:kern w:val="2"/>
          <w:sz w:val="22"/>
          <w:szCs w:val="24"/>
        </w:rPr>
      </w:pPr>
      <w:r>
        <w:fldChar w:fldCharType="begin"/>
      </w:r>
      <w:r>
        <w:instrText xml:space="preserve"> HYPERLINK \l "_Toc78208242" </w:instrText>
      </w:r>
      <w:r>
        <w:fldChar w:fldCharType="separate"/>
      </w:r>
      <w:r>
        <w:rPr>
          <w:rStyle w:val="15"/>
          <w:rFonts w:hint="eastAsia" w:ascii="仿宋_GB2312" w:hAnsi="黑体" w:cs="宋体"/>
          <w:sz w:val="32"/>
          <w:szCs w:val="32"/>
        </w:rPr>
        <w:t>二、招商引资优惠政策</w:t>
      </w:r>
      <w:r>
        <w:rPr>
          <w:rFonts w:hint="eastAsia" w:ascii="仿宋_GB2312"/>
          <w:sz w:val="32"/>
          <w:szCs w:val="32"/>
        </w:rPr>
        <w:tab/>
      </w:r>
      <w:r>
        <w:rPr>
          <w:rFonts w:hint="eastAsia" w:ascii="仿宋_GB2312"/>
          <w:sz w:val="32"/>
          <w:szCs w:val="32"/>
        </w:rPr>
        <w:fldChar w:fldCharType="begin"/>
      </w:r>
      <w:r>
        <w:rPr>
          <w:rFonts w:hint="eastAsia" w:ascii="仿宋_GB2312"/>
          <w:sz w:val="32"/>
          <w:szCs w:val="32"/>
        </w:rPr>
        <w:instrText xml:space="preserve"> PAGEREF _Toc78208242 \h </w:instrText>
      </w:r>
      <w:r>
        <w:rPr>
          <w:rFonts w:hint="eastAsia" w:ascii="仿宋_GB2312"/>
          <w:sz w:val="32"/>
          <w:szCs w:val="32"/>
        </w:rPr>
        <w:fldChar w:fldCharType="separate"/>
      </w:r>
      <w:r>
        <w:rPr>
          <w:rFonts w:ascii="仿宋_GB2312"/>
          <w:sz w:val="32"/>
          <w:szCs w:val="32"/>
        </w:rPr>
        <w:t>23</w:t>
      </w:r>
      <w:r>
        <w:rPr>
          <w:rFonts w:hint="eastAsia" w:ascii="仿宋_GB2312"/>
          <w:sz w:val="32"/>
          <w:szCs w:val="32"/>
        </w:rPr>
        <w:fldChar w:fldCharType="end"/>
      </w:r>
      <w:r>
        <w:rPr>
          <w:rFonts w:hint="eastAsia" w:ascii="仿宋_GB2312"/>
          <w:sz w:val="32"/>
          <w:szCs w:val="32"/>
        </w:rPr>
        <w:fldChar w:fldCharType="end"/>
      </w:r>
    </w:p>
    <w:p w14:paraId="304D0E28">
      <w:pPr>
        <w:pStyle w:val="9"/>
        <w:spacing w:line="580" w:lineRule="exact"/>
        <w:jc w:val="distribute"/>
        <w:rPr>
          <w:rFonts w:asciiTheme="minorHAnsi" w:hAnsiTheme="minorHAnsi" w:eastAsiaTheme="minorEastAsia" w:cstheme="minorBidi"/>
          <w:bCs w:val="0"/>
          <w:kern w:val="2"/>
          <w:sz w:val="21"/>
          <w:szCs w:val="22"/>
        </w:rPr>
      </w:pPr>
      <w:r>
        <w:fldChar w:fldCharType="begin"/>
      </w:r>
      <w:r>
        <w:instrText xml:space="preserve"> HYPERLINK \l "_Toc78208243" </w:instrText>
      </w:r>
      <w:r>
        <w:fldChar w:fldCharType="separate"/>
      </w:r>
      <w:r>
        <w:rPr>
          <w:rStyle w:val="15"/>
          <w:rFonts w:hint="eastAsia" w:ascii="仿宋_GB2312" w:hAnsi="黑体" w:cs="宋体"/>
          <w:sz w:val="32"/>
          <w:szCs w:val="32"/>
        </w:rPr>
        <w:t>三、项目投资流程</w:t>
      </w:r>
      <w:r>
        <w:rPr>
          <w:rFonts w:hint="eastAsia" w:ascii="仿宋_GB2312"/>
          <w:sz w:val="32"/>
          <w:szCs w:val="32"/>
        </w:rPr>
        <w:tab/>
      </w:r>
      <w:r>
        <w:rPr>
          <w:rFonts w:hint="eastAsia" w:ascii="仿宋_GB2312"/>
          <w:sz w:val="32"/>
          <w:szCs w:val="32"/>
        </w:rPr>
        <w:fldChar w:fldCharType="begin"/>
      </w:r>
      <w:r>
        <w:rPr>
          <w:rFonts w:hint="eastAsia" w:ascii="仿宋_GB2312"/>
          <w:sz w:val="32"/>
          <w:szCs w:val="32"/>
        </w:rPr>
        <w:instrText xml:space="preserve"> PAGEREF _Toc78208243 \h </w:instrText>
      </w:r>
      <w:r>
        <w:rPr>
          <w:rFonts w:hint="eastAsia" w:ascii="仿宋_GB2312"/>
          <w:sz w:val="32"/>
          <w:szCs w:val="32"/>
        </w:rPr>
        <w:fldChar w:fldCharType="separate"/>
      </w:r>
      <w:r>
        <w:rPr>
          <w:rFonts w:ascii="仿宋_GB2312"/>
          <w:sz w:val="32"/>
          <w:szCs w:val="32"/>
        </w:rPr>
        <w:t>26</w:t>
      </w:r>
      <w:r>
        <w:rPr>
          <w:rFonts w:hint="eastAsia" w:ascii="仿宋_GB2312"/>
          <w:sz w:val="32"/>
          <w:szCs w:val="32"/>
        </w:rPr>
        <w:fldChar w:fldCharType="end"/>
      </w:r>
      <w:r>
        <w:rPr>
          <w:rFonts w:hint="eastAsia" w:ascii="仿宋_GB2312"/>
          <w:sz w:val="32"/>
          <w:szCs w:val="32"/>
        </w:rPr>
        <w:fldChar w:fldCharType="end"/>
      </w:r>
    </w:p>
    <w:p w14:paraId="7EF0D136">
      <w:pPr>
        <w:spacing w:line="580" w:lineRule="exact"/>
        <w:jc w:val="distribute"/>
        <w:rPr>
          <w:rFonts w:ascii="Times New Roman" w:hAnsi="Times New Roman" w:cs="Times New Roman"/>
          <w:color w:val="000000" w:themeColor="text1"/>
          <w:szCs w:val="28"/>
          <w14:textFill>
            <w14:solidFill>
              <w14:schemeClr w14:val="tx1"/>
            </w14:solidFill>
          </w14:textFill>
        </w:rPr>
      </w:pPr>
      <w:r>
        <w:rPr>
          <w:rFonts w:hint="eastAsia" w:ascii="仿宋_GB2312" w:hAnsi="Times New Roman" w:cs="Times New Roman"/>
          <w:b/>
          <w:bCs/>
          <w:sz w:val="32"/>
          <w:szCs w:val="32"/>
          <w:lang w:val="zh-CN"/>
        </w:rPr>
        <w:fldChar w:fldCharType="end"/>
      </w:r>
    </w:p>
    <w:p w14:paraId="7EBE6519">
      <w:pPr>
        <w:spacing w:line="580" w:lineRule="exact"/>
        <w:rPr>
          <w:rFonts w:ascii="Times New Roman" w:hAnsi="Times New Roman" w:cs="Times New Roman"/>
          <w:color w:val="000000" w:themeColor="text1"/>
          <w:szCs w:val="28"/>
          <w14:textFill>
            <w14:solidFill>
              <w14:schemeClr w14:val="tx1"/>
            </w14:solidFill>
          </w14:textFill>
        </w:rPr>
      </w:pPr>
    </w:p>
    <w:p w14:paraId="7E0ABB9A">
      <w:pPr>
        <w:widowControl/>
        <w:spacing w:before="100" w:beforeAutospacing="1" w:after="100" w:afterAutospacing="1"/>
        <w:jc w:val="left"/>
        <w:rPr>
          <w:rFonts w:ascii="Times New Roman" w:hAnsi="Times New Roman" w:cs="Times New Roman"/>
          <w:color w:val="000000" w:themeColor="text1"/>
          <w:szCs w:val="28"/>
          <w14:textFill>
            <w14:solidFill>
              <w14:schemeClr w14:val="tx1"/>
            </w14:solidFill>
          </w14:textFill>
        </w:rPr>
        <w:sectPr>
          <w:headerReference r:id="rId5" w:type="default"/>
          <w:footerReference r:id="rId6" w:type="default"/>
          <w:pgSz w:w="11906" w:h="16838"/>
          <w:pgMar w:top="2098" w:right="1474" w:bottom="1985" w:left="1588" w:header="851" w:footer="1418" w:gutter="0"/>
          <w:pgNumType w:fmt="upperRoman" w:start="1"/>
          <w:cols w:space="720" w:num="1"/>
          <w:docGrid w:linePitch="381" w:charSpace="0"/>
        </w:sectPr>
      </w:pPr>
    </w:p>
    <w:p w14:paraId="07AAE127">
      <w:pPr>
        <w:pStyle w:val="2"/>
        <w:spacing w:before="0" w:after="0" w:line="580" w:lineRule="exact"/>
        <w:jc w:val="center"/>
        <w:rPr>
          <w:rFonts w:ascii="方正小标宋简体" w:hAnsi="宋体" w:eastAsia="方正小标宋简体" w:cs="宋体"/>
          <w:color w:val="000000" w:themeColor="text1"/>
          <w:sz w:val="44"/>
          <w14:textFill>
            <w14:solidFill>
              <w14:schemeClr w14:val="tx1"/>
            </w14:solidFill>
          </w14:textFill>
        </w:rPr>
      </w:pPr>
      <w:bookmarkStart w:id="0" w:name="_Toc78208217"/>
      <w:bookmarkStart w:id="1" w:name="_Toc76718392"/>
      <w:r>
        <w:rPr>
          <w:rFonts w:ascii="方正小标宋简体" w:hAnsi="宋体" w:eastAsia="方正小标宋简体" w:cs="宋体"/>
          <w:color w:val="000000" w:themeColor="text1"/>
          <w:sz w:val="44"/>
          <w14:textFill>
            <w14:solidFill>
              <w14:schemeClr w14:val="tx1"/>
            </w14:solidFill>
          </w14:textFill>
        </w:rPr>
        <w:t>第一章</w:t>
      </w:r>
      <w:r>
        <w:rPr>
          <w:rFonts w:hint="eastAsia" w:ascii="方正小标宋简体" w:hAnsi="宋体" w:eastAsia="方正小标宋简体" w:cs="宋体"/>
          <w:color w:val="000000" w:themeColor="text1"/>
          <w:sz w:val="44"/>
          <w14:textFill>
            <w14:solidFill>
              <w14:schemeClr w14:val="tx1"/>
            </w14:solidFill>
          </w14:textFill>
        </w:rPr>
        <w:t xml:space="preserve"> </w:t>
      </w:r>
      <w:r>
        <w:rPr>
          <w:rFonts w:ascii="方正小标宋简体" w:hAnsi="宋体" w:eastAsia="方正小标宋简体" w:cs="宋体"/>
          <w:color w:val="000000" w:themeColor="text1"/>
          <w:sz w:val="44"/>
          <w14:textFill>
            <w14:solidFill>
              <w14:schemeClr w14:val="tx1"/>
            </w14:solidFill>
          </w14:textFill>
        </w:rPr>
        <w:t>区域</w:t>
      </w:r>
      <w:r>
        <w:rPr>
          <w:rFonts w:hint="eastAsia" w:ascii="方正小标宋简体" w:hAnsi="宋体" w:eastAsia="方正小标宋简体" w:cs="宋体"/>
          <w:color w:val="000000" w:themeColor="text1"/>
          <w:sz w:val="44"/>
          <w14:textFill>
            <w14:solidFill>
              <w14:schemeClr w14:val="tx1"/>
            </w14:solidFill>
          </w14:textFill>
        </w:rPr>
        <w:t>投资环境</w:t>
      </w:r>
      <w:bookmarkEnd w:id="0"/>
      <w:bookmarkEnd w:id="1"/>
    </w:p>
    <w:p w14:paraId="59DBFD8C">
      <w:pPr>
        <w:spacing w:line="580" w:lineRule="exact"/>
        <w:rPr>
          <w:rFonts w:ascii="方正小标宋简体" w:eastAsia="方正小标宋简体"/>
          <w:sz w:val="44"/>
          <w:szCs w:val="44"/>
        </w:rPr>
      </w:pPr>
      <w:r>
        <w:rPr>
          <w:rFonts w:hint="eastAsia" w:ascii="方正小标宋简体" w:eastAsia="方正小标宋简体"/>
          <w:sz w:val="44"/>
          <w:szCs w:val="44"/>
        </w:rPr>
        <w:t xml:space="preserve"> </w:t>
      </w:r>
    </w:p>
    <w:p w14:paraId="1E31598B">
      <w:pPr>
        <w:pStyle w:val="3"/>
        <w:spacing w:before="0" w:after="0" w:line="580" w:lineRule="exact"/>
        <w:ind w:firstLine="643" w:firstLineChars="200"/>
        <w:rPr>
          <w:rFonts w:ascii="黑体" w:hAnsi="黑体" w:eastAsia="黑体" w:cs="宋体"/>
          <w:color w:val="000000" w:themeColor="text1"/>
          <w:sz w:val="32"/>
          <w14:textFill>
            <w14:solidFill>
              <w14:schemeClr w14:val="tx1"/>
            </w14:solidFill>
          </w14:textFill>
        </w:rPr>
      </w:pPr>
      <w:bookmarkStart w:id="2" w:name="_Toc78208218"/>
      <w:bookmarkStart w:id="3" w:name="_Toc76718393"/>
      <w:r>
        <w:rPr>
          <w:rFonts w:ascii="黑体" w:hAnsi="黑体" w:eastAsia="黑体" w:cs="宋体"/>
          <w:color w:val="000000" w:themeColor="text1"/>
          <w:sz w:val="32"/>
          <w14:textFill>
            <w14:solidFill>
              <w14:schemeClr w14:val="tx1"/>
            </w14:solidFill>
          </w14:textFill>
        </w:rPr>
        <w:t>一、</w:t>
      </w:r>
      <w:r>
        <w:rPr>
          <w:rFonts w:hint="eastAsia" w:ascii="黑体" w:hAnsi="黑体" w:eastAsia="黑体" w:cs="宋体"/>
          <w:color w:val="000000" w:themeColor="text1"/>
          <w:sz w:val="32"/>
          <w14:textFill>
            <w14:solidFill>
              <w14:schemeClr w14:val="tx1"/>
            </w14:solidFill>
          </w14:textFill>
        </w:rPr>
        <w:t>息烽</w:t>
      </w:r>
      <w:r>
        <w:rPr>
          <w:rFonts w:ascii="黑体" w:hAnsi="黑体" w:eastAsia="黑体" w:cs="宋体"/>
          <w:color w:val="000000" w:themeColor="text1"/>
          <w:sz w:val="32"/>
          <w14:textFill>
            <w14:solidFill>
              <w14:schemeClr w14:val="tx1"/>
            </w14:solidFill>
          </w14:textFill>
        </w:rPr>
        <w:t>发展概况</w:t>
      </w:r>
      <w:bookmarkEnd w:id="2"/>
      <w:bookmarkEnd w:id="3"/>
    </w:p>
    <w:p w14:paraId="7AC49EE9">
      <w:pPr>
        <w:spacing w:line="580" w:lineRule="exact"/>
        <w:ind w:firstLine="640" w:firstLineChars="200"/>
        <w:rPr>
          <w:rFonts w:ascii="仿宋_GB2312" w:hAnsi="宋体" w:cs="宋体"/>
          <w:sz w:val="32"/>
          <w:szCs w:val="32"/>
        </w:rPr>
      </w:pPr>
      <w:r>
        <w:rPr>
          <w:rFonts w:hint="eastAsia" w:ascii="仿宋_GB2312" w:hAnsi="宋体" w:cs="宋体"/>
          <w:sz w:val="32"/>
          <w:szCs w:val="32"/>
        </w:rPr>
        <w:t>息烽地处黔中腹地，位于贵阳生态保护发展区、贵阳中高端制造业核心配套区和北部高新技术产业实体经济带上，东临开阳，南接修文，西北与遵义市播州区、毕节市金沙县隔江相望。全县总面积1036.5平方公里，辖9镇1乡1社区，177个村（居），总人口27.8万，有苗、布依、彝族等19个少数民族。</w:t>
      </w:r>
    </w:p>
    <w:p w14:paraId="5F5AD81D">
      <w:pPr>
        <w:spacing w:line="580" w:lineRule="exact"/>
        <w:ind w:firstLine="640" w:firstLineChars="200"/>
        <w:rPr>
          <w:rFonts w:ascii="仿宋_GB2312" w:hAnsi="宋体" w:cs="宋体"/>
          <w:sz w:val="32"/>
          <w:szCs w:val="32"/>
        </w:rPr>
      </w:pPr>
      <w:r>
        <w:rPr>
          <w:rFonts w:hint="eastAsia" w:ascii="仿宋_GB2312" w:hAnsi="宋体" w:cs="宋体"/>
          <w:sz w:val="32"/>
          <w:szCs w:val="32"/>
        </w:rPr>
        <w:t>息烽境内山峦起伏、地势险要，素有“川黔锁钥、黔中咽喉”之称，自古为兵家必争之地。属北亚热带和南温带季风气候区，气候温和，雨量充沛，冬无严寒，夏无酷暑，年平均气温14-16℃，降雨量950-1200毫米，大部分地区全年无霜期在270天以上。全县森林覆盖率达47%，境内原生天然林多，大部分地区林木丰茂，水土保持良好，有“天然氧吧”之美誉，荣获“中国绿色名县”称号。同时，息烽矿产资源丰富，有煤、磷、铝、硫铁、褐铁、硅、水晶、重晶石、高岭土等，其中尤以煤、磷储藏最丰、品位最高。</w:t>
      </w:r>
    </w:p>
    <w:p w14:paraId="1E1934A4">
      <w:pPr>
        <w:spacing w:line="580" w:lineRule="exact"/>
        <w:jc w:val="center"/>
        <w:rPr>
          <w:rFonts w:ascii="仿宋_GB2312" w:hAnsi="宋体" w:cs="宋体"/>
          <w:b/>
          <w:bCs/>
          <w:szCs w:val="28"/>
        </w:rPr>
      </w:pPr>
    </w:p>
    <w:p w14:paraId="1372F8AC">
      <w:pPr>
        <w:spacing w:line="580" w:lineRule="exact"/>
        <w:jc w:val="center"/>
        <w:rPr>
          <w:rFonts w:ascii="仿宋_GB2312" w:hAnsi="宋体" w:cs="宋体"/>
          <w:b/>
          <w:bCs/>
          <w:szCs w:val="28"/>
        </w:rPr>
      </w:pPr>
    </w:p>
    <w:p w14:paraId="357320EC">
      <w:pPr>
        <w:spacing w:line="580" w:lineRule="exact"/>
        <w:jc w:val="center"/>
        <w:rPr>
          <w:rFonts w:ascii="仿宋_GB2312" w:hAnsi="宋体" w:cs="宋体"/>
          <w:b/>
          <w:bCs/>
          <w:szCs w:val="28"/>
        </w:rPr>
      </w:pPr>
    </w:p>
    <w:p w14:paraId="27810D84">
      <w:pPr>
        <w:spacing w:line="580" w:lineRule="exact"/>
        <w:jc w:val="center"/>
        <w:rPr>
          <w:rFonts w:ascii="仿宋_GB2312" w:hAnsi="宋体" w:cs="宋体"/>
          <w:b/>
          <w:bCs/>
          <w:szCs w:val="28"/>
        </w:rPr>
      </w:pPr>
    </w:p>
    <w:p w14:paraId="4B9008FD">
      <w:pPr>
        <w:spacing w:line="580" w:lineRule="exact"/>
        <w:jc w:val="center"/>
        <w:rPr>
          <w:rFonts w:ascii="仿宋_GB2312" w:hAnsi="宋体" w:cs="宋体"/>
          <w:b/>
          <w:bCs/>
          <w:szCs w:val="28"/>
        </w:rPr>
      </w:pPr>
      <w:r>
        <w:rPr>
          <w:rFonts w:hint="eastAsia" w:ascii="仿宋_GB2312" w:hAnsi="宋体" w:cs="宋体"/>
          <w:b/>
          <w:bCs/>
          <w:szCs w:val="28"/>
        </w:rPr>
        <w:t>图表</w:t>
      </w:r>
      <w:r>
        <w:rPr>
          <w:rFonts w:ascii="仿宋_GB2312" w:hAnsi="宋体" w:cs="宋体"/>
          <w:b/>
          <w:bCs/>
          <w:szCs w:val="28"/>
        </w:rPr>
        <w:t xml:space="preserve"> 1  </w:t>
      </w:r>
      <w:r>
        <w:rPr>
          <w:rFonts w:hint="eastAsia" w:ascii="仿宋_GB2312" w:hAnsi="宋体" w:cs="宋体"/>
          <w:b/>
          <w:bCs/>
          <w:szCs w:val="28"/>
        </w:rPr>
        <w:t>息烽县</w:t>
      </w:r>
    </w:p>
    <w:p w14:paraId="13E9C40C">
      <w:pPr>
        <w:spacing w:line="360" w:lineRule="auto"/>
        <w:jc w:val="center"/>
        <w:rPr>
          <w:rFonts w:ascii="Times New Roman" w:hAnsi="Times New Roman" w:cs="Times New Roman"/>
        </w:rPr>
      </w:pPr>
      <w:r>
        <w:rPr>
          <w:rFonts w:ascii="仿宋_GB2312" w:hAnsi="宋体" w:cs="宋体"/>
          <w:sz w:val="32"/>
          <w:szCs w:val="32"/>
        </w:rPr>
        <w:drawing>
          <wp:inline distT="0" distB="0" distL="0" distR="0">
            <wp:extent cx="5615940" cy="3653790"/>
            <wp:effectExtent l="0" t="0" r="381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615940" cy="3654294"/>
                    </a:xfrm>
                    <a:prstGeom prst="rect">
                      <a:avLst/>
                    </a:prstGeom>
                    <a:noFill/>
                  </pic:spPr>
                </pic:pic>
              </a:graphicData>
            </a:graphic>
          </wp:inline>
        </w:drawing>
      </w:r>
    </w:p>
    <w:p w14:paraId="2CB63F60">
      <w:pPr>
        <w:pStyle w:val="3"/>
        <w:spacing w:before="0" w:after="0" w:line="580" w:lineRule="exact"/>
        <w:ind w:firstLine="643" w:firstLineChars="200"/>
        <w:rPr>
          <w:rFonts w:ascii="黑体" w:hAnsi="黑体" w:eastAsia="黑体" w:cs="宋体"/>
          <w:color w:val="000000" w:themeColor="text1"/>
          <w:sz w:val="32"/>
          <w14:textFill>
            <w14:solidFill>
              <w14:schemeClr w14:val="tx1"/>
            </w14:solidFill>
          </w14:textFill>
        </w:rPr>
      </w:pPr>
      <w:bookmarkStart w:id="4" w:name="_Toc78208219"/>
      <w:bookmarkStart w:id="5" w:name="_Toc76718394"/>
      <w:r>
        <w:rPr>
          <w:rFonts w:ascii="黑体" w:hAnsi="黑体" w:eastAsia="黑体" w:cs="宋体"/>
          <w:color w:val="000000" w:themeColor="text1"/>
          <w:sz w:val="32"/>
          <w14:textFill>
            <w14:solidFill>
              <w14:schemeClr w14:val="tx1"/>
            </w14:solidFill>
          </w14:textFill>
        </w:rPr>
        <w:t>二、经济社会发展</w:t>
      </w:r>
      <w:bookmarkEnd w:id="4"/>
      <w:bookmarkEnd w:id="5"/>
    </w:p>
    <w:p w14:paraId="0685856E">
      <w:pPr>
        <w:spacing w:line="580" w:lineRule="exact"/>
        <w:ind w:firstLine="643" w:firstLineChars="200"/>
        <w:rPr>
          <w:rFonts w:ascii="仿宋_GB2312" w:hAnsi="宋体" w:cs="宋体"/>
          <w:sz w:val="32"/>
          <w:szCs w:val="32"/>
        </w:rPr>
      </w:pPr>
      <w:r>
        <w:rPr>
          <w:rFonts w:hint="eastAsia" w:ascii="仿宋_GB2312" w:hAnsi="宋体" w:cs="宋体"/>
          <w:b/>
          <w:bCs/>
          <w:sz w:val="32"/>
          <w:szCs w:val="32"/>
        </w:rPr>
        <w:t>息烽县市场活力逐渐增强，县域经济势头稳中向好。</w:t>
      </w:r>
      <w:r>
        <w:rPr>
          <w:rFonts w:ascii="仿宋_GB2312" w:hAnsi="宋体" w:cs="宋体"/>
          <w:sz w:val="32"/>
          <w:szCs w:val="32"/>
        </w:rPr>
        <w:t>2020年全县地区生产总值完成152.8亿元，同比增长9.8%，较2019年提高7.2个百分点，分别高全国、全省、全市6.5个百分点、5.3个百分点、4.8个百分点</w:t>
      </w:r>
      <w:r>
        <w:rPr>
          <w:rFonts w:hint="eastAsia" w:ascii="仿宋_GB2312" w:hAnsi="宋体" w:cs="宋体"/>
          <w:sz w:val="32"/>
          <w:szCs w:val="32"/>
        </w:rPr>
        <w:t>。</w:t>
      </w:r>
    </w:p>
    <w:p w14:paraId="6BDA3397">
      <w:pPr>
        <w:spacing w:line="580" w:lineRule="exact"/>
        <w:ind w:firstLine="560" w:firstLineChars="200"/>
        <w:jc w:val="center"/>
        <w:rPr>
          <w:rFonts w:ascii="仿宋_GB2312" w:hAnsi="宋体" w:cs="宋体"/>
          <w:b/>
          <w:bCs/>
          <w:szCs w:val="28"/>
        </w:rPr>
      </w:pPr>
      <w:r>
        <w:drawing>
          <wp:anchor distT="0" distB="0" distL="114300" distR="114300" simplePos="0" relativeHeight="251661312" behindDoc="0" locked="0" layoutInCell="1" allowOverlap="1">
            <wp:simplePos x="0" y="0"/>
            <wp:positionH relativeFrom="column">
              <wp:posOffset>96520</wp:posOffset>
            </wp:positionH>
            <wp:positionV relativeFrom="paragraph">
              <wp:posOffset>448945</wp:posOffset>
            </wp:positionV>
            <wp:extent cx="5573395" cy="3343910"/>
            <wp:effectExtent l="0" t="0" r="8255" b="13970"/>
            <wp:wrapTopAndBottom/>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Pr>
          <w:rFonts w:hint="eastAsia" w:ascii="仿宋_GB2312" w:hAnsi="宋体" w:cs="宋体"/>
          <w:b/>
          <w:bCs/>
          <w:szCs w:val="28"/>
        </w:rPr>
        <w:t xml:space="preserve">图表 </w:t>
      </w:r>
      <w:r>
        <w:rPr>
          <w:rFonts w:ascii="仿宋_GB2312" w:hAnsi="宋体" w:cs="宋体"/>
          <w:b/>
          <w:bCs/>
          <w:szCs w:val="28"/>
        </w:rPr>
        <w:t>2</w:t>
      </w:r>
      <w:r>
        <w:rPr>
          <w:rFonts w:hint="eastAsia" w:ascii="仿宋_GB2312" w:hAnsi="宋体" w:cs="宋体"/>
          <w:b/>
          <w:bCs/>
          <w:szCs w:val="28"/>
        </w:rPr>
        <w:t xml:space="preserve">  </w:t>
      </w:r>
      <w:r>
        <w:rPr>
          <w:rFonts w:ascii="仿宋_GB2312" w:hAnsi="宋体" w:cs="宋体"/>
          <w:b/>
          <w:bCs/>
          <w:szCs w:val="28"/>
        </w:rPr>
        <w:t>2018-2020</w:t>
      </w:r>
      <w:r>
        <w:rPr>
          <w:rFonts w:hint="eastAsia" w:ascii="仿宋_GB2312" w:hAnsi="宋体" w:cs="宋体"/>
          <w:b/>
          <w:bCs/>
          <w:szCs w:val="28"/>
        </w:rPr>
        <w:t>年全县生产总值及增速</w:t>
      </w:r>
    </w:p>
    <w:p w14:paraId="7D368763">
      <w:pPr>
        <w:spacing w:line="580" w:lineRule="exact"/>
        <w:ind w:firstLine="560" w:firstLineChars="200"/>
        <w:rPr>
          <w:rFonts w:ascii="仿宋_GB2312" w:hAnsi="宋体" w:cs="宋体"/>
          <w:szCs w:val="28"/>
        </w:rPr>
      </w:pPr>
      <w:r>
        <w:rPr>
          <w:rFonts w:hint="eastAsia" w:ascii="仿宋_GB2312" w:hAnsi="宋体" w:cs="宋体"/>
          <w:szCs w:val="28"/>
        </w:rPr>
        <w:t>数据来源：息烽县人民政府</w:t>
      </w:r>
    </w:p>
    <w:p w14:paraId="5A4063D9">
      <w:pPr>
        <w:spacing w:line="580" w:lineRule="exact"/>
        <w:ind w:firstLine="643" w:firstLineChars="200"/>
        <w:rPr>
          <w:rFonts w:ascii="仿宋_GB2312" w:hAnsi="宋体" w:cs="宋体"/>
          <w:sz w:val="32"/>
          <w:szCs w:val="32"/>
        </w:rPr>
      </w:pPr>
      <w:r>
        <w:rPr>
          <w:rFonts w:hint="eastAsia" w:ascii="仿宋_GB2312" w:hAnsi="宋体" w:cs="宋体"/>
          <w:b/>
          <w:sz w:val="32"/>
          <w:szCs w:val="32"/>
        </w:rPr>
        <w:t>产业结构不断优化。</w:t>
      </w:r>
      <w:r>
        <w:rPr>
          <w:rFonts w:ascii="仿宋_GB2312" w:hAnsi="宋体" w:cs="宋体"/>
          <w:sz w:val="32"/>
          <w:szCs w:val="32"/>
        </w:rPr>
        <w:t>第一产业完成24.4亿元，同比增长6.7%，排全市第1位;第二产业完成49.3亿元，同比增长10.2%，排全市第3位，第三产业完成79.1亿元，同比增长10.6%，排全市第1位。</w:t>
      </w:r>
      <w:r>
        <w:rPr>
          <w:rFonts w:hint="eastAsia" w:ascii="仿宋_GB2312" w:hAnsi="宋体" w:cs="宋体"/>
          <w:sz w:val="32"/>
          <w:szCs w:val="32"/>
        </w:rPr>
        <w:t>三次产业结构比为</w:t>
      </w:r>
      <w:r>
        <w:rPr>
          <w:rFonts w:ascii="仿宋_GB2312" w:hAnsi="宋体" w:cs="宋体"/>
          <w:sz w:val="32"/>
          <w:szCs w:val="32"/>
        </w:rPr>
        <w:t>16:32.3:51.8</w:t>
      </w:r>
      <w:r>
        <w:rPr>
          <w:rFonts w:hint="eastAsia" w:ascii="仿宋_GB2312" w:hAnsi="宋体" w:cs="宋体"/>
          <w:sz w:val="32"/>
          <w:szCs w:val="32"/>
        </w:rPr>
        <w:t>，呈“三二一”结构。</w:t>
      </w:r>
    </w:p>
    <w:p w14:paraId="76C7FBA0">
      <w:pPr>
        <w:widowControl/>
        <w:spacing w:line="580" w:lineRule="exact"/>
        <w:ind w:firstLine="643" w:firstLineChars="200"/>
        <w:rPr>
          <w:rFonts w:ascii="仿宋_GB2312" w:hAnsi="宋体" w:cs="宋体"/>
          <w:sz w:val="32"/>
          <w:szCs w:val="32"/>
        </w:rPr>
      </w:pPr>
      <w:r>
        <w:rPr>
          <w:rFonts w:hint="eastAsia" w:ascii="仿宋_GB2312" w:hAnsi="宋体" w:cs="宋体"/>
          <w:b/>
          <w:sz w:val="32"/>
          <w:szCs w:val="32"/>
        </w:rPr>
        <w:t>工业转型步伐稳，拉动发展提供动力。</w:t>
      </w:r>
      <w:r>
        <w:rPr>
          <w:rFonts w:hint="eastAsia" w:ascii="仿宋_GB2312" w:hAnsi="宋体" w:cs="宋体"/>
          <w:sz w:val="32"/>
          <w:szCs w:val="32"/>
        </w:rPr>
        <w:t>息烽县围绕“一品一业，百业富贵”发展新愿景，和“成为开放发展的新亮点、打造中高端制造业核心配套区”的新定位，逐步构建了现代化工、新型建材、新医药、特色食品、装备制造、节能环保、日用消费品七大产业体系。</w:t>
      </w:r>
    </w:p>
    <w:p w14:paraId="6CDDBFF4">
      <w:pPr>
        <w:spacing w:line="580" w:lineRule="exact"/>
        <w:ind w:firstLine="643" w:firstLineChars="200"/>
        <w:rPr>
          <w:rFonts w:ascii="仿宋_GB2312" w:hAnsi="宋体" w:cs="宋体"/>
          <w:sz w:val="32"/>
          <w:szCs w:val="32"/>
        </w:rPr>
      </w:pPr>
      <w:r>
        <w:rPr>
          <w:rFonts w:hint="eastAsia" w:ascii="仿宋_GB2312" w:hAnsi="宋体" w:cs="宋体"/>
          <w:b/>
          <w:bCs/>
          <w:sz w:val="32"/>
          <w:szCs w:val="32"/>
        </w:rPr>
        <w:t>“十三五”时期，息烽县初步形成了以磷煤化工、医药食品、建材、制造装备等产业为主的产业空间布局。</w:t>
      </w:r>
      <w:r>
        <w:rPr>
          <w:rFonts w:hint="eastAsia" w:ascii="仿宋_GB2312" w:hAnsi="宋体" w:cs="宋体"/>
          <w:sz w:val="32"/>
          <w:szCs w:val="32"/>
        </w:rPr>
        <w:t>核心园区息烽循环经济磷煤精细化工业区位于小寨坝镇，是息烽县省级经济开发区、省级新型工业化示范基地核心区，主要围绕磷煤化工建设，发展磷、煤、氟和硅化工等产业。另外还在永靖、温泉、西山和养龙司等地形成了一些产业集聚区，集聚了贵州太和制药、贵州味美食品、贵州西洋肥业、贵州正大饲料等规上企业，主要产品有高浓度磷复肥、环保建材和绿色食品、药品、汽车零配件，其中部分产品出口美国、法国、日本、韩国等地。</w:t>
      </w:r>
    </w:p>
    <w:p w14:paraId="2001A073">
      <w:pPr>
        <w:pStyle w:val="3"/>
        <w:spacing w:before="0" w:after="0" w:line="580" w:lineRule="exact"/>
        <w:ind w:firstLine="643" w:firstLineChars="200"/>
        <w:rPr>
          <w:rFonts w:ascii="黑体" w:hAnsi="黑体" w:eastAsia="黑体" w:cs="宋体"/>
          <w:color w:val="000000" w:themeColor="text1"/>
          <w:sz w:val="32"/>
          <w14:textFill>
            <w14:solidFill>
              <w14:schemeClr w14:val="tx1"/>
            </w14:solidFill>
          </w14:textFill>
        </w:rPr>
      </w:pPr>
      <w:bookmarkStart w:id="6" w:name="_Toc78208220"/>
      <w:bookmarkStart w:id="7" w:name="_Toc76570155"/>
      <w:bookmarkStart w:id="8" w:name="_Toc77771369"/>
      <w:bookmarkStart w:id="9" w:name="_Toc76569934"/>
      <w:r>
        <w:rPr>
          <w:rFonts w:hint="eastAsia" w:ascii="黑体" w:hAnsi="黑体" w:eastAsia="黑体" w:cs="宋体"/>
          <w:color w:val="000000" w:themeColor="text1"/>
          <w:sz w:val="32"/>
          <w14:textFill>
            <w14:solidFill>
              <w14:schemeClr w14:val="tx1"/>
            </w14:solidFill>
          </w14:textFill>
        </w:rPr>
        <w:t>三、发展规划及潜力</w:t>
      </w:r>
      <w:bookmarkEnd w:id="6"/>
      <w:bookmarkEnd w:id="7"/>
      <w:bookmarkEnd w:id="8"/>
      <w:bookmarkEnd w:id="9"/>
    </w:p>
    <w:p w14:paraId="5BD1859A">
      <w:pPr>
        <w:spacing w:line="580" w:lineRule="exact"/>
        <w:ind w:firstLine="640" w:firstLineChars="200"/>
        <w:rPr>
          <w:rFonts w:ascii="仿宋_GB2312" w:hAnsi="宋体" w:cs="宋体"/>
          <w:sz w:val="32"/>
          <w:szCs w:val="32"/>
        </w:rPr>
      </w:pPr>
      <w:r>
        <w:rPr>
          <w:rFonts w:hint="eastAsia" w:ascii="仿宋_GB2312" w:hAnsi="宋体" w:cs="宋体"/>
          <w:sz w:val="32"/>
          <w:szCs w:val="32"/>
        </w:rPr>
        <w:t>“十四五”期间，息烽县将以高质量发展统揽全局，初步谋划将“现代化工、新型建材”分别打造为百亿级产业；将“新医药、特色食品、节能环保、日用消费品、装备制造”分别打造成十亿级产业，推动中高端制造业发展。</w:t>
      </w:r>
    </w:p>
    <w:p w14:paraId="39CFFC17">
      <w:pPr>
        <w:pStyle w:val="2"/>
        <w:spacing w:before="0" w:after="0" w:line="580" w:lineRule="exact"/>
        <w:jc w:val="center"/>
        <w:rPr>
          <w:rFonts w:ascii="方正小标宋简体" w:hAnsi="宋体" w:eastAsia="方正小标宋简体" w:cs="宋体"/>
          <w:color w:val="000000" w:themeColor="text1"/>
          <w:sz w:val="44"/>
          <w14:textFill>
            <w14:solidFill>
              <w14:schemeClr w14:val="tx1"/>
            </w14:solidFill>
          </w14:textFill>
        </w:rPr>
      </w:pPr>
      <w:r>
        <w:rPr>
          <w:rFonts w:ascii="方正小标宋简体" w:hAnsi="宋体" w:eastAsia="方正小标宋简体" w:cs="宋体"/>
          <w:color w:val="000000" w:themeColor="text1"/>
          <w:sz w:val="44"/>
          <w14:textFill>
            <w14:solidFill>
              <w14:schemeClr w14:val="tx1"/>
            </w14:solidFill>
          </w14:textFill>
        </w:rPr>
        <w:br w:type="page"/>
      </w:r>
    </w:p>
    <w:p w14:paraId="32A55B7D">
      <w:pPr>
        <w:pStyle w:val="2"/>
        <w:spacing w:before="0" w:after="0" w:line="580" w:lineRule="exact"/>
        <w:jc w:val="center"/>
        <w:rPr>
          <w:rFonts w:ascii="方正小标宋简体" w:hAnsi="宋体" w:eastAsia="方正小标宋简体" w:cs="宋体"/>
          <w:color w:val="000000" w:themeColor="text1"/>
          <w:sz w:val="44"/>
          <w14:textFill>
            <w14:solidFill>
              <w14:schemeClr w14:val="tx1"/>
            </w14:solidFill>
          </w14:textFill>
        </w:rPr>
      </w:pPr>
      <w:bookmarkStart w:id="10" w:name="_Toc76718396"/>
      <w:bookmarkStart w:id="11" w:name="_Toc78208221"/>
      <w:r>
        <w:rPr>
          <w:rFonts w:hint="eastAsia" w:ascii="方正小标宋简体" w:hAnsi="宋体" w:eastAsia="方正小标宋简体" w:cs="宋体"/>
          <w:color w:val="000000" w:themeColor="text1"/>
          <w:sz w:val="44"/>
          <w14:textFill>
            <w14:solidFill>
              <w14:schemeClr w14:val="tx1"/>
            </w14:solidFill>
          </w14:textFill>
        </w:rPr>
        <w:t>第二章 项目投资优势</w:t>
      </w:r>
      <w:bookmarkEnd w:id="10"/>
      <w:bookmarkEnd w:id="11"/>
    </w:p>
    <w:p w14:paraId="0D256049">
      <w:pPr>
        <w:spacing w:line="580" w:lineRule="exact"/>
        <w:rPr>
          <w:rFonts w:ascii="方正小标宋简体" w:eastAsia="方正小标宋简体"/>
          <w:sz w:val="44"/>
          <w:szCs w:val="44"/>
        </w:rPr>
      </w:pPr>
      <w:r>
        <w:rPr>
          <w:rFonts w:hint="eastAsia" w:ascii="方正小标宋简体" w:eastAsia="方正小标宋简体"/>
          <w:sz w:val="44"/>
          <w:szCs w:val="44"/>
        </w:rPr>
        <w:t xml:space="preserve"> </w:t>
      </w:r>
    </w:p>
    <w:p w14:paraId="1CDE5E0C">
      <w:pPr>
        <w:pStyle w:val="3"/>
        <w:spacing w:before="0" w:after="0" w:line="580" w:lineRule="exact"/>
        <w:ind w:firstLine="643" w:firstLineChars="200"/>
        <w:rPr>
          <w:rFonts w:ascii="黑体" w:hAnsi="黑体" w:eastAsia="黑体" w:cs="宋体"/>
          <w:color w:val="000000" w:themeColor="text1"/>
          <w:sz w:val="32"/>
          <w14:textFill>
            <w14:solidFill>
              <w14:schemeClr w14:val="tx1"/>
            </w14:solidFill>
          </w14:textFill>
        </w:rPr>
      </w:pPr>
      <w:bookmarkStart w:id="12" w:name="_Toc78208222"/>
      <w:bookmarkStart w:id="13" w:name="_Toc76718397"/>
      <w:r>
        <w:rPr>
          <w:rFonts w:hint="eastAsia" w:ascii="黑体" w:hAnsi="黑体" w:eastAsia="黑体" w:cs="宋体"/>
          <w:color w:val="000000" w:themeColor="text1"/>
          <w:sz w:val="32"/>
          <w14:textFill>
            <w14:solidFill>
              <w14:schemeClr w14:val="tx1"/>
            </w14:solidFill>
          </w14:textFill>
        </w:rPr>
        <w:t>一、产品市场优势</w:t>
      </w:r>
      <w:bookmarkEnd w:id="12"/>
      <w:bookmarkEnd w:id="13"/>
    </w:p>
    <w:p w14:paraId="1D39BCB3">
      <w:pPr>
        <w:spacing w:line="580" w:lineRule="exact"/>
        <w:ind w:firstLine="643" w:firstLineChars="200"/>
        <w:rPr>
          <w:rFonts w:ascii="仿宋_GB2312" w:hAnsi="宋体" w:cs="宋体"/>
          <w:sz w:val="32"/>
          <w:szCs w:val="32"/>
        </w:rPr>
      </w:pPr>
      <w:r>
        <w:rPr>
          <w:rFonts w:hint="eastAsia" w:ascii="仿宋_GB2312" w:hAnsi="宋体" w:cs="宋体"/>
          <w:b/>
          <w:bCs/>
          <w:sz w:val="32"/>
          <w:szCs w:val="32"/>
        </w:rPr>
        <w:t>区域精细磷化工产业为项目产品提供广阔市场。</w:t>
      </w:r>
      <w:r>
        <w:rPr>
          <w:rFonts w:hint="eastAsia" w:ascii="仿宋_GB2312" w:hAnsi="宋体" w:cs="宋体"/>
          <w:sz w:val="32"/>
          <w:szCs w:val="32"/>
        </w:rPr>
        <w:t>贵州省磷矿资源丰富，是我国磷富矿资源最多的省份，全省磷矿保有资源储量4</w:t>
      </w:r>
      <w:r>
        <w:rPr>
          <w:rFonts w:ascii="仿宋_GB2312" w:hAnsi="宋体" w:cs="宋体"/>
          <w:sz w:val="32"/>
          <w:szCs w:val="32"/>
        </w:rPr>
        <w:t>2.1</w:t>
      </w:r>
      <w:r>
        <w:rPr>
          <w:rFonts w:hint="eastAsia" w:ascii="仿宋_GB2312" w:hAnsi="宋体" w:cs="宋体"/>
          <w:sz w:val="32"/>
          <w:szCs w:val="32"/>
        </w:rPr>
        <w:t>亿吨，磷富矿查明资源储量达1</w:t>
      </w:r>
      <w:r>
        <w:rPr>
          <w:rFonts w:ascii="仿宋_GB2312" w:hAnsi="宋体" w:cs="宋体"/>
          <w:sz w:val="32"/>
          <w:szCs w:val="32"/>
        </w:rPr>
        <w:t>2.49</w:t>
      </w:r>
      <w:r>
        <w:rPr>
          <w:rFonts w:hint="eastAsia" w:ascii="仿宋_GB2312" w:hAnsi="宋体" w:cs="宋体"/>
          <w:sz w:val="32"/>
          <w:szCs w:val="32"/>
        </w:rPr>
        <w:t>亿吨。其中，开阳、息烽等地富矿资源密集，占全国富矿资源储量的3</w:t>
      </w:r>
      <w:r>
        <w:rPr>
          <w:rFonts w:ascii="仿宋_GB2312" w:hAnsi="宋体" w:cs="宋体"/>
          <w:sz w:val="32"/>
          <w:szCs w:val="32"/>
        </w:rPr>
        <w:t>0%</w:t>
      </w:r>
      <w:r>
        <w:rPr>
          <w:rFonts w:hint="eastAsia" w:ascii="仿宋_GB2312" w:hAnsi="宋体" w:cs="宋体"/>
          <w:sz w:val="32"/>
          <w:szCs w:val="32"/>
        </w:rPr>
        <w:t>以上，是不经选矿即可用于高浓度磷肥生产的少数矿区。依托丰富的磷矿资源优势，贵州省磷化工产业实现持续较快发展，已成为全省重要的工业支柱产业和优势产业。贵州磷化集团以贵州福泉、开阳、息烽为核心，每年磷矿开采能力超过1700万吨，磷酸生产能力超过400万吨，高浓度磷复肥及新型肥料生产能力超过800万吨。此外，息烽小寨坝磷煤化产业园区是省级磷煤化产业园区，目前已有中化开磷、磷化集团、西洋肥业、广东欧昊、宁波荣山等磷化工企业和新型建材企业入驻生产建设，每年对化工装备需求量较大。由此，本项目所生产磷化工产业用环保设备市场优势明显。</w:t>
      </w:r>
    </w:p>
    <w:p w14:paraId="2957F4FA">
      <w:pPr>
        <w:pStyle w:val="3"/>
        <w:spacing w:before="0" w:after="0" w:line="580" w:lineRule="exact"/>
        <w:ind w:firstLine="643" w:firstLineChars="200"/>
        <w:rPr>
          <w:rFonts w:ascii="黑体" w:hAnsi="黑体" w:eastAsia="黑体" w:cs="宋体"/>
          <w:color w:val="000000" w:themeColor="text1"/>
          <w:sz w:val="32"/>
          <w14:textFill>
            <w14:solidFill>
              <w14:schemeClr w14:val="tx1"/>
            </w14:solidFill>
          </w14:textFill>
        </w:rPr>
      </w:pPr>
      <w:bookmarkStart w:id="14" w:name="_Toc78208223"/>
      <w:bookmarkStart w:id="15" w:name="_Toc76718399"/>
      <w:r>
        <w:rPr>
          <w:rFonts w:hint="eastAsia" w:ascii="黑体" w:hAnsi="黑体" w:eastAsia="黑体" w:cs="宋体"/>
          <w:color w:val="000000" w:themeColor="text1"/>
          <w:sz w:val="32"/>
          <w14:textFill>
            <w14:solidFill>
              <w14:schemeClr w14:val="tx1"/>
            </w14:solidFill>
          </w14:textFill>
        </w:rPr>
        <w:t>二、成本要素优势</w:t>
      </w:r>
      <w:bookmarkEnd w:id="14"/>
      <w:bookmarkEnd w:id="15"/>
    </w:p>
    <w:p w14:paraId="4AC69C88">
      <w:pPr>
        <w:spacing w:line="580" w:lineRule="exact"/>
        <w:ind w:firstLine="640" w:firstLineChars="200"/>
        <w:rPr>
          <w:rFonts w:ascii="仿宋_GB2312" w:hAnsi="宋体" w:cs="宋体"/>
          <w:sz w:val="32"/>
          <w:szCs w:val="32"/>
        </w:rPr>
      </w:pPr>
      <w:r>
        <w:rPr>
          <w:rFonts w:hint="eastAsia" w:ascii="仿宋_GB2312" w:hAnsi="宋体" w:cs="宋体"/>
          <w:sz w:val="32"/>
          <w:szCs w:val="32"/>
        </w:rPr>
        <w:t>息烽县的劳动力资源丰富，工业工地、用水、用电、用气等成本相对低廉。据统计，息烽县有户籍人口</w:t>
      </w:r>
      <w:r>
        <w:rPr>
          <w:rFonts w:ascii="仿宋_GB2312" w:hAnsi="宋体" w:cs="宋体"/>
          <w:sz w:val="32"/>
          <w:szCs w:val="32"/>
        </w:rPr>
        <w:t>27.64万人，常住人口24.78万人，乡村人口18.01万人，劳动力资源丰富，能完全满足项目用工需求。当地月工资在2000-3000元之间（含五险），劳动力成本较低。</w:t>
      </w:r>
    </w:p>
    <w:p w14:paraId="01079CD6">
      <w:pPr>
        <w:spacing w:line="580" w:lineRule="exact"/>
        <w:ind w:firstLine="640" w:firstLineChars="200"/>
        <w:rPr>
          <w:rFonts w:ascii="仿宋_GB2312" w:hAnsi="宋体" w:cs="宋体"/>
          <w:sz w:val="32"/>
          <w:szCs w:val="32"/>
        </w:rPr>
      </w:pPr>
      <w:r>
        <w:rPr>
          <w:rFonts w:ascii="仿宋_GB2312" w:hAnsi="宋体" w:cs="宋体"/>
          <w:sz w:val="32"/>
          <w:szCs w:val="32"/>
        </w:rPr>
        <w:t>息烽县北临乌江渡发电站，地处贵州大电网中心，国家电网覆盖全县，县内现有500千伏安变电站1座，110千伏安变电站2座、35千伏安变电站5座，变压器装机总容量1925兆伏安，且具有根据市场电力需求扩容的能力，供电设施完善，电价低，工业用电价格仅为0.57</w:t>
      </w:r>
      <w:r>
        <w:rPr>
          <w:rFonts w:hint="eastAsia" w:ascii="仿宋_GB2312" w:hAnsi="宋体" w:cs="宋体"/>
          <w:sz w:val="32"/>
          <w:szCs w:val="32"/>
        </w:rPr>
        <w:t>元/</w:t>
      </w:r>
      <w:r>
        <w:rPr>
          <w:rFonts w:ascii="仿宋_GB2312" w:hAnsi="宋体" w:cs="宋体"/>
          <w:sz w:val="32"/>
          <w:szCs w:val="32"/>
        </w:rPr>
        <w:t>kW</w:t>
      </w:r>
      <w:r>
        <w:rPr>
          <w:rFonts w:hint="eastAsia" w:ascii="仿宋_GB2312" w:hAnsi="宋体" w:cs="宋体"/>
          <w:sz w:val="32"/>
          <w:szCs w:val="32"/>
        </w:rPr>
        <w:t>·</w:t>
      </w:r>
      <w:r>
        <w:rPr>
          <w:rFonts w:ascii="仿宋_GB2312" w:hAnsi="宋体" w:cs="宋体"/>
          <w:sz w:val="32"/>
          <w:szCs w:val="32"/>
        </w:rPr>
        <w:t>h</w:t>
      </w:r>
      <w:r>
        <w:rPr>
          <w:rFonts w:hint="eastAsia" w:ascii="仿宋_GB2312" w:hAnsi="宋体" w:cs="宋体"/>
          <w:sz w:val="32"/>
          <w:szCs w:val="32"/>
        </w:rPr>
        <w:t>，可</w:t>
      </w:r>
      <w:r>
        <w:rPr>
          <w:rFonts w:ascii="仿宋_GB2312" w:hAnsi="宋体" w:cs="宋体"/>
          <w:sz w:val="32"/>
          <w:szCs w:val="32"/>
        </w:rPr>
        <w:t>充分满足项目发展需要。此外，息烽县的工业用地价格为12万/亩，工业用水价格为3.7元/m³，工业用气价格为2.51元/m³，成本都相对低廉。息烽丰富的劳动力资源，以及较低的劳动力成本和工业用地、用水、用电、用气等成本，可以满足项目建设的需求</w:t>
      </w:r>
      <w:r>
        <w:rPr>
          <w:rFonts w:hint="eastAsia" w:ascii="仿宋_GB2312" w:hAnsi="宋体" w:cs="宋体"/>
          <w:sz w:val="32"/>
          <w:szCs w:val="32"/>
        </w:rPr>
        <w:t>。</w:t>
      </w:r>
    </w:p>
    <w:p w14:paraId="2897BDF4">
      <w:pPr>
        <w:spacing w:line="580" w:lineRule="exact"/>
        <w:jc w:val="center"/>
        <w:rPr>
          <w:rFonts w:ascii="仿宋_GB2312" w:hAnsi="宋体" w:cs="宋体"/>
          <w:b/>
          <w:szCs w:val="32"/>
        </w:rPr>
      </w:pPr>
      <w:r>
        <w:rPr>
          <w:rFonts w:hint="eastAsia" w:ascii="仿宋_GB2312" w:hAnsi="宋体" w:cs="宋体"/>
          <w:b/>
          <w:szCs w:val="32"/>
        </w:rPr>
        <w:t>图表</w:t>
      </w:r>
      <w:r>
        <w:rPr>
          <w:rFonts w:ascii="仿宋_GB2312" w:hAnsi="宋体" w:cs="宋体"/>
          <w:b/>
          <w:szCs w:val="32"/>
        </w:rPr>
        <w:t xml:space="preserve"> 3  </w:t>
      </w:r>
      <w:r>
        <w:rPr>
          <w:rFonts w:hint="eastAsia" w:ascii="仿宋_GB2312" w:hAnsi="宋体" w:cs="宋体"/>
          <w:b/>
          <w:szCs w:val="32"/>
        </w:rPr>
        <w:t>息烽县主要生产要素成本</w:t>
      </w:r>
    </w:p>
    <w:tbl>
      <w:tblPr>
        <w:tblStyle w:val="25"/>
        <w:tblW w:w="4998" w:type="pct"/>
        <w:jc w:val="center"/>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Layout w:type="autofit"/>
        <w:tblCellMar>
          <w:top w:w="0" w:type="dxa"/>
          <w:left w:w="108" w:type="dxa"/>
          <w:bottom w:w="0" w:type="dxa"/>
          <w:right w:w="108" w:type="dxa"/>
        </w:tblCellMar>
      </w:tblPr>
      <w:tblGrid>
        <w:gridCol w:w="3340"/>
        <w:gridCol w:w="2034"/>
        <w:gridCol w:w="3682"/>
      </w:tblGrid>
      <w:tr w14:paraId="4BE20C44">
        <w:tblPrEx>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CellMar>
            <w:top w:w="0" w:type="dxa"/>
            <w:left w:w="108" w:type="dxa"/>
            <w:bottom w:w="0" w:type="dxa"/>
            <w:right w:w="108" w:type="dxa"/>
          </w:tblCellMar>
        </w:tblPrEx>
        <w:trPr>
          <w:cantSplit/>
          <w:trHeight w:val="60" w:hRule="atLeast"/>
          <w:tblHeader/>
          <w:jc w:val="center"/>
        </w:trPr>
        <w:tc>
          <w:tcPr>
            <w:tcW w:w="1844" w:type="pct"/>
            <w:tcBorders>
              <w:top w:val="single" w:color="5B9BD5" w:sz="4" w:space="0"/>
              <w:left w:val="single" w:color="5B9BD5" w:sz="4" w:space="0"/>
              <w:bottom w:val="single" w:color="5B9BD5" w:sz="4" w:space="0"/>
              <w:right w:val="single" w:color="FFFFFF" w:sz="4" w:space="0"/>
            </w:tcBorders>
            <w:shd w:val="clear" w:color="auto" w:fill="4472C4" w:themeFill="accent5"/>
            <w:vAlign w:val="center"/>
          </w:tcPr>
          <w:p w14:paraId="000B26D7">
            <w:pPr>
              <w:spacing w:before="0" w:beforeLines="0" w:beforeAutospacing="0" w:after="0" w:afterLines="0" w:afterAutospacing="0" w:line="440" w:lineRule="exact"/>
              <w:jc w:val="center"/>
              <w:rPr>
                <w:rFonts w:ascii="黑体" w:hAnsi="黑体" w:eastAsia="黑体" w:cs="Times New Roman"/>
                <w:b/>
                <w:bCs/>
                <w:color w:val="FFFFFF"/>
              </w:rPr>
            </w:pPr>
            <w:r>
              <w:rPr>
                <w:rFonts w:hint="eastAsia" w:ascii="黑体" w:hAnsi="黑体" w:eastAsia="黑体" w:cs="Times New Roman"/>
                <w:b/>
                <w:bCs/>
                <w:color w:val="FFFFFF"/>
              </w:rPr>
              <w:t>生产要素</w:t>
            </w:r>
          </w:p>
        </w:tc>
        <w:tc>
          <w:tcPr>
            <w:tcW w:w="1123" w:type="pct"/>
            <w:tcBorders>
              <w:top w:val="single" w:color="5B9BD5" w:sz="4" w:space="0"/>
              <w:left w:val="single" w:color="FFFFFF" w:sz="4" w:space="0"/>
              <w:bottom w:val="single" w:color="5B9BD5" w:sz="4" w:space="0"/>
              <w:right w:val="single" w:color="FFFFFF" w:sz="4" w:space="0"/>
            </w:tcBorders>
            <w:shd w:val="clear" w:color="auto" w:fill="4472C4" w:themeFill="accent5"/>
            <w:vAlign w:val="center"/>
          </w:tcPr>
          <w:p w14:paraId="3F29C2CA">
            <w:pPr>
              <w:spacing w:before="0" w:beforeLines="0" w:beforeAutospacing="0" w:after="0" w:afterLines="0" w:afterAutospacing="0" w:line="440" w:lineRule="exact"/>
              <w:jc w:val="center"/>
              <w:rPr>
                <w:rFonts w:ascii="黑体" w:hAnsi="黑体" w:eastAsia="黑体" w:cs="Times New Roman"/>
                <w:b/>
                <w:bCs/>
                <w:color w:val="FFFFFF"/>
              </w:rPr>
            </w:pPr>
            <w:r>
              <w:rPr>
                <w:rFonts w:hint="eastAsia" w:ascii="黑体" w:hAnsi="黑体" w:eastAsia="黑体" w:cs="Times New Roman"/>
                <w:b/>
                <w:bCs/>
                <w:color w:val="FFFFFF"/>
              </w:rPr>
              <w:t>息烽县</w:t>
            </w:r>
          </w:p>
        </w:tc>
        <w:tc>
          <w:tcPr>
            <w:tcW w:w="2033" w:type="pct"/>
            <w:tcBorders>
              <w:top w:val="single" w:color="5B9BD5" w:sz="4" w:space="0"/>
              <w:left w:val="single" w:color="FFFFFF" w:sz="4" w:space="0"/>
              <w:bottom w:val="single" w:color="5B9BD5" w:sz="4" w:space="0"/>
              <w:right w:val="single" w:color="FFFFFF" w:sz="4" w:space="0"/>
            </w:tcBorders>
            <w:shd w:val="clear" w:color="auto" w:fill="4472C4" w:themeFill="accent5"/>
            <w:vAlign w:val="center"/>
          </w:tcPr>
          <w:p w14:paraId="6F105AEC">
            <w:pPr>
              <w:spacing w:before="0" w:beforeLines="0" w:beforeAutospacing="0" w:after="0" w:afterLines="0" w:afterAutospacing="0" w:line="440" w:lineRule="exact"/>
              <w:jc w:val="center"/>
              <w:rPr>
                <w:rFonts w:ascii="黑体" w:hAnsi="黑体" w:eastAsia="黑体" w:cs="Times New Roman"/>
                <w:b w:val="0"/>
                <w:bCs w:val="0"/>
                <w:color w:val="FFFFFF"/>
              </w:rPr>
            </w:pPr>
            <w:r>
              <w:rPr>
                <w:rFonts w:hint="eastAsia" w:ascii="黑体" w:hAnsi="黑体" w:eastAsia="黑体" w:cs="Times New Roman"/>
                <w:b/>
                <w:bCs/>
                <w:color w:val="FFFFFF"/>
              </w:rPr>
              <w:t>备注</w:t>
            </w:r>
          </w:p>
        </w:tc>
      </w:tr>
      <w:tr w14:paraId="370CED3D">
        <w:tblPrEx>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CellMar>
            <w:top w:w="0" w:type="dxa"/>
            <w:left w:w="108" w:type="dxa"/>
            <w:bottom w:w="0" w:type="dxa"/>
            <w:right w:w="108" w:type="dxa"/>
          </w:tblCellMar>
        </w:tblPrEx>
        <w:trPr>
          <w:cantSplit/>
          <w:trHeight w:val="60" w:hRule="atLeast"/>
          <w:jc w:val="center"/>
        </w:trPr>
        <w:tc>
          <w:tcPr>
            <w:tcW w:w="1844" w:type="pct"/>
            <w:tcBorders>
              <w:top w:val="nil"/>
              <w:left w:val="single" w:color="5B9BD5" w:sz="4" w:space="0"/>
              <w:bottom w:val="nil"/>
              <w:right w:val="single" w:color="5B9BD5" w:sz="4" w:space="0"/>
            </w:tcBorders>
            <w:vAlign w:val="center"/>
          </w:tcPr>
          <w:p w14:paraId="7DCB23F7">
            <w:pPr>
              <w:spacing w:line="440" w:lineRule="exact"/>
              <w:jc w:val="center"/>
              <w:rPr>
                <w:rFonts w:ascii="仿宋_GB2312" w:hAnsi="宋体" w:cs="宋体"/>
                <w:b w:val="0"/>
                <w:bCs w:val="0"/>
                <w:szCs w:val="32"/>
              </w:rPr>
            </w:pPr>
            <w:r>
              <w:rPr>
                <w:rFonts w:hint="eastAsia" w:ascii="仿宋_GB2312" w:hAnsi="宋体" w:cs="宋体"/>
                <w:b w:val="0"/>
                <w:bCs w:val="0"/>
                <w:szCs w:val="32"/>
              </w:rPr>
              <w:t>劳动力成本（元</w:t>
            </w:r>
            <w:r>
              <w:rPr>
                <w:rFonts w:ascii="仿宋_GB2312" w:hAnsi="宋体" w:cs="宋体"/>
                <w:b w:val="0"/>
                <w:bCs w:val="0"/>
                <w:szCs w:val="32"/>
              </w:rPr>
              <w:t>/</w:t>
            </w:r>
            <w:r>
              <w:rPr>
                <w:rFonts w:hint="eastAsia" w:ascii="仿宋_GB2312" w:hAnsi="宋体" w:cs="宋体"/>
                <w:b w:val="0"/>
                <w:bCs w:val="0"/>
                <w:szCs w:val="32"/>
              </w:rPr>
              <w:t>月）</w:t>
            </w:r>
          </w:p>
        </w:tc>
        <w:tc>
          <w:tcPr>
            <w:tcW w:w="1123" w:type="pct"/>
            <w:tcBorders>
              <w:top w:val="nil"/>
              <w:left w:val="single" w:color="5B9BD5" w:sz="4" w:space="0"/>
              <w:bottom w:val="nil"/>
              <w:right w:val="single" w:color="5B9BD5" w:sz="4" w:space="0"/>
            </w:tcBorders>
            <w:vAlign w:val="center"/>
          </w:tcPr>
          <w:p w14:paraId="0BD75DB4">
            <w:pPr>
              <w:spacing w:line="440" w:lineRule="exact"/>
              <w:jc w:val="center"/>
              <w:rPr>
                <w:rFonts w:ascii="仿宋_GB2312" w:hAnsi="宋体" w:cs="宋体"/>
                <w:szCs w:val="32"/>
              </w:rPr>
            </w:pPr>
            <w:r>
              <w:rPr>
                <w:rFonts w:hint="eastAsia" w:ascii="仿宋_GB2312" w:hAnsi="宋体" w:cs="宋体"/>
                <w:szCs w:val="32"/>
              </w:rPr>
              <w:t>2000-3000，含五险</w:t>
            </w:r>
          </w:p>
        </w:tc>
        <w:tc>
          <w:tcPr>
            <w:tcW w:w="2033" w:type="pct"/>
            <w:tcBorders>
              <w:top w:val="nil"/>
              <w:left w:val="single" w:color="5B9BD5" w:sz="4" w:space="0"/>
              <w:bottom w:val="nil"/>
              <w:right w:val="single" w:color="5B9BD5" w:sz="4" w:space="0"/>
            </w:tcBorders>
            <w:vAlign w:val="center"/>
          </w:tcPr>
          <w:p w14:paraId="0A258E58">
            <w:pPr>
              <w:spacing w:line="440" w:lineRule="exact"/>
              <w:jc w:val="center"/>
              <w:rPr>
                <w:rFonts w:ascii="仿宋_GB2312" w:hAnsi="宋体" w:cs="宋体"/>
                <w:szCs w:val="32"/>
              </w:rPr>
            </w:pPr>
            <w:r>
              <w:rPr>
                <w:rFonts w:hint="eastAsia" w:ascii="仿宋_GB2312" w:hAnsi="宋体" w:cs="宋体"/>
                <w:szCs w:val="32"/>
              </w:rPr>
              <w:t>县级人社部门依托“春风行动”协助进行招工</w:t>
            </w:r>
          </w:p>
        </w:tc>
      </w:tr>
      <w:tr w14:paraId="1DAA3BEF">
        <w:tblPrEx>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CellMar>
            <w:top w:w="0" w:type="dxa"/>
            <w:left w:w="108" w:type="dxa"/>
            <w:bottom w:w="0" w:type="dxa"/>
            <w:right w:w="108" w:type="dxa"/>
          </w:tblCellMar>
        </w:tblPrEx>
        <w:trPr>
          <w:cantSplit/>
          <w:trHeight w:val="454" w:hRule="atLeast"/>
          <w:jc w:val="center"/>
        </w:trPr>
        <w:tc>
          <w:tcPr>
            <w:tcW w:w="1844" w:type="pct"/>
            <w:tcBorders>
              <w:top w:val="single" w:color="5B9BD5" w:sz="4" w:space="0"/>
              <w:left w:val="single" w:color="5B9BD5" w:sz="4" w:space="0"/>
              <w:bottom w:val="single" w:color="5B9BD5" w:sz="4" w:space="0"/>
              <w:right w:val="single" w:color="5B9BD5" w:sz="4" w:space="0"/>
            </w:tcBorders>
            <w:vAlign w:val="center"/>
          </w:tcPr>
          <w:p w14:paraId="3BB3F3EB">
            <w:pPr>
              <w:spacing w:line="440" w:lineRule="exact"/>
              <w:jc w:val="center"/>
              <w:rPr>
                <w:rFonts w:ascii="仿宋_GB2312" w:hAnsi="宋体" w:cs="宋体"/>
                <w:b w:val="0"/>
                <w:bCs w:val="0"/>
                <w:szCs w:val="32"/>
              </w:rPr>
            </w:pPr>
            <w:r>
              <w:rPr>
                <w:rFonts w:ascii="仿宋_GB2312" w:hAnsi="宋体" w:cs="宋体"/>
                <w:b w:val="0"/>
                <w:bCs w:val="0"/>
                <w:szCs w:val="32"/>
              </w:rPr>
              <w:t>工业用地（万元</w:t>
            </w:r>
            <w:r>
              <w:rPr>
                <w:rFonts w:hint="eastAsia" w:ascii="仿宋_GB2312" w:hAnsi="宋体" w:cs="宋体"/>
                <w:b w:val="0"/>
                <w:bCs w:val="0"/>
                <w:szCs w:val="32"/>
              </w:rPr>
              <w:t>/亩）</w:t>
            </w:r>
          </w:p>
        </w:tc>
        <w:tc>
          <w:tcPr>
            <w:tcW w:w="1123" w:type="pct"/>
            <w:tcBorders>
              <w:top w:val="single" w:color="5B9BD5" w:sz="4" w:space="0"/>
              <w:left w:val="single" w:color="5B9BD5" w:sz="4" w:space="0"/>
              <w:bottom w:val="single" w:color="5B9BD5" w:sz="4" w:space="0"/>
              <w:right w:val="single" w:color="5B9BD5" w:sz="4" w:space="0"/>
            </w:tcBorders>
            <w:vAlign w:val="center"/>
          </w:tcPr>
          <w:p w14:paraId="143402D6">
            <w:pPr>
              <w:spacing w:line="440" w:lineRule="exact"/>
              <w:jc w:val="center"/>
              <w:rPr>
                <w:rFonts w:ascii="仿宋_GB2312" w:hAnsi="宋体" w:cs="宋体"/>
                <w:szCs w:val="32"/>
              </w:rPr>
            </w:pPr>
            <w:r>
              <w:rPr>
                <w:rFonts w:hint="eastAsia" w:ascii="仿宋_GB2312" w:hAnsi="宋体" w:cs="宋体"/>
                <w:szCs w:val="32"/>
              </w:rPr>
              <w:t>12</w:t>
            </w:r>
          </w:p>
        </w:tc>
        <w:tc>
          <w:tcPr>
            <w:tcW w:w="2033" w:type="pct"/>
            <w:tcBorders>
              <w:top w:val="single" w:color="5B9BD5" w:sz="4" w:space="0"/>
              <w:left w:val="single" w:color="5B9BD5" w:sz="4" w:space="0"/>
              <w:bottom w:val="single" w:color="5B9BD5" w:sz="4" w:space="0"/>
              <w:right w:val="single" w:color="5B9BD5" w:sz="4" w:space="0"/>
            </w:tcBorders>
            <w:vAlign w:val="center"/>
          </w:tcPr>
          <w:p w14:paraId="22C60E0D">
            <w:pPr>
              <w:spacing w:line="440" w:lineRule="exact"/>
              <w:jc w:val="center"/>
              <w:rPr>
                <w:rFonts w:ascii="仿宋_GB2312" w:hAnsi="宋体" w:cs="宋体"/>
                <w:szCs w:val="32"/>
              </w:rPr>
            </w:pPr>
            <w:r>
              <w:rPr>
                <w:rFonts w:hint="eastAsia" w:ascii="仿宋_GB2312" w:hAnsi="宋体" w:cs="宋体"/>
                <w:szCs w:val="32"/>
              </w:rPr>
              <w:t>-</w:t>
            </w:r>
          </w:p>
        </w:tc>
      </w:tr>
      <w:tr w14:paraId="6D300977">
        <w:tblPrEx>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CellMar>
            <w:top w:w="0" w:type="dxa"/>
            <w:left w:w="108" w:type="dxa"/>
            <w:bottom w:w="0" w:type="dxa"/>
            <w:right w:w="108" w:type="dxa"/>
          </w:tblCellMar>
        </w:tblPrEx>
        <w:trPr>
          <w:cantSplit/>
          <w:trHeight w:val="454" w:hRule="atLeast"/>
          <w:jc w:val="center"/>
        </w:trPr>
        <w:tc>
          <w:tcPr>
            <w:tcW w:w="1844" w:type="pct"/>
            <w:tcBorders>
              <w:top w:val="single" w:color="5B9BD5" w:sz="4" w:space="0"/>
              <w:left w:val="single" w:color="5B9BD5" w:sz="4" w:space="0"/>
              <w:bottom w:val="single" w:color="5B9BD5" w:sz="4" w:space="0"/>
              <w:right w:val="single" w:color="5B9BD5" w:sz="4" w:space="0"/>
            </w:tcBorders>
            <w:vAlign w:val="center"/>
          </w:tcPr>
          <w:p w14:paraId="4E2C77B9">
            <w:pPr>
              <w:spacing w:line="440" w:lineRule="exact"/>
              <w:jc w:val="center"/>
              <w:rPr>
                <w:rFonts w:ascii="仿宋_GB2312" w:hAnsi="宋体" w:cs="宋体"/>
                <w:b w:val="0"/>
                <w:bCs w:val="0"/>
                <w:szCs w:val="32"/>
              </w:rPr>
            </w:pPr>
            <w:r>
              <w:rPr>
                <w:rFonts w:hint="eastAsia" w:ascii="仿宋_GB2312" w:hAnsi="宋体" w:cs="宋体"/>
                <w:b w:val="0"/>
                <w:bCs w:val="0"/>
                <w:szCs w:val="32"/>
              </w:rPr>
              <w:t>工业用水成本（元</w:t>
            </w:r>
            <w:r>
              <w:rPr>
                <w:rFonts w:ascii="仿宋_GB2312" w:hAnsi="宋体" w:cs="宋体"/>
                <w:b w:val="0"/>
                <w:bCs w:val="0"/>
                <w:szCs w:val="32"/>
              </w:rPr>
              <w:t>/m³</w:t>
            </w:r>
            <w:r>
              <w:rPr>
                <w:rFonts w:hint="eastAsia" w:ascii="仿宋_GB2312" w:hAnsi="宋体" w:cs="宋体"/>
                <w:b w:val="0"/>
                <w:bCs w:val="0"/>
                <w:szCs w:val="32"/>
              </w:rPr>
              <w:t>）</w:t>
            </w:r>
          </w:p>
        </w:tc>
        <w:tc>
          <w:tcPr>
            <w:tcW w:w="1123" w:type="pct"/>
            <w:tcBorders>
              <w:top w:val="single" w:color="5B9BD5" w:sz="4" w:space="0"/>
              <w:left w:val="single" w:color="5B9BD5" w:sz="4" w:space="0"/>
              <w:bottom w:val="single" w:color="5B9BD5" w:sz="4" w:space="0"/>
              <w:right w:val="single" w:color="5B9BD5" w:sz="4" w:space="0"/>
            </w:tcBorders>
            <w:vAlign w:val="center"/>
          </w:tcPr>
          <w:p w14:paraId="05561FCC">
            <w:pPr>
              <w:spacing w:line="440" w:lineRule="exact"/>
              <w:jc w:val="center"/>
              <w:rPr>
                <w:rFonts w:ascii="仿宋_GB2312" w:hAnsi="宋体" w:cs="宋体"/>
                <w:szCs w:val="32"/>
              </w:rPr>
            </w:pPr>
            <w:r>
              <w:rPr>
                <w:rFonts w:hint="eastAsia" w:ascii="仿宋_GB2312" w:hAnsi="宋体" w:cs="宋体"/>
                <w:szCs w:val="32"/>
              </w:rPr>
              <w:t>3.7</w:t>
            </w:r>
          </w:p>
        </w:tc>
        <w:tc>
          <w:tcPr>
            <w:tcW w:w="2033" w:type="pct"/>
            <w:tcBorders>
              <w:top w:val="single" w:color="5B9BD5" w:sz="4" w:space="0"/>
              <w:left w:val="single" w:color="5B9BD5" w:sz="4" w:space="0"/>
              <w:bottom w:val="single" w:color="5B9BD5" w:sz="4" w:space="0"/>
              <w:right w:val="single" w:color="5B9BD5" w:sz="4" w:space="0"/>
            </w:tcBorders>
            <w:vAlign w:val="center"/>
          </w:tcPr>
          <w:p w14:paraId="030E878A">
            <w:pPr>
              <w:spacing w:line="440" w:lineRule="exact"/>
              <w:jc w:val="center"/>
              <w:rPr>
                <w:rFonts w:ascii="仿宋_GB2312" w:hAnsi="宋体" w:cs="宋体"/>
                <w:szCs w:val="32"/>
              </w:rPr>
            </w:pPr>
            <w:r>
              <w:rPr>
                <w:rFonts w:hint="eastAsia" w:ascii="仿宋_GB2312" w:hAnsi="宋体" w:cs="宋体"/>
                <w:szCs w:val="32"/>
              </w:rPr>
              <w:t>-</w:t>
            </w:r>
          </w:p>
        </w:tc>
      </w:tr>
      <w:tr w14:paraId="49EE3E6B">
        <w:tblPrEx>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CellMar>
            <w:top w:w="0" w:type="dxa"/>
            <w:left w:w="108" w:type="dxa"/>
            <w:bottom w:w="0" w:type="dxa"/>
            <w:right w:w="108" w:type="dxa"/>
          </w:tblCellMar>
        </w:tblPrEx>
        <w:trPr>
          <w:cantSplit/>
          <w:trHeight w:val="454" w:hRule="atLeast"/>
          <w:jc w:val="center"/>
        </w:trPr>
        <w:tc>
          <w:tcPr>
            <w:tcW w:w="1844" w:type="pct"/>
            <w:tcBorders>
              <w:top w:val="single" w:color="5B9BD5" w:sz="4" w:space="0"/>
              <w:left w:val="single" w:color="5B9BD5" w:sz="4" w:space="0"/>
              <w:bottom w:val="single" w:color="5B9BD5" w:sz="4" w:space="0"/>
              <w:right w:val="single" w:color="5B9BD5" w:sz="4" w:space="0"/>
            </w:tcBorders>
            <w:vAlign w:val="center"/>
          </w:tcPr>
          <w:p w14:paraId="267D25D3">
            <w:pPr>
              <w:spacing w:line="440" w:lineRule="exact"/>
              <w:jc w:val="center"/>
              <w:rPr>
                <w:rFonts w:ascii="仿宋_GB2312" w:hAnsi="宋体" w:cs="宋体"/>
                <w:b w:val="0"/>
                <w:bCs w:val="0"/>
                <w:szCs w:val="32"/>
              </w:rPr>
            </w:pPr>
            <w:r>
              <w:rPr>
                <w:rFonts w:hint="eastAsia" w:ascii="仿宋_GB2312" w:hAnsi="宋体" w:cs="宋体"/>
                <w:b w:val="0"/>
                <w:bCs w:val="0"/>
                <w:szCs w:val="32"/>
              </w:rPr>
              <w:t>工业用电成本（元</w:t>
            </w:r>
            <w:r>
              <w:rPr>
                <w:rFonts w:ascii="仿宋_GB2312" w:hAnsi="宋体" w:cs="宋体"/>
                <w:b w:val="0"/>
                <w:bCs w:val="0"/>
                <w:szCs w:val="32"/>
              </w:rPr>
              <w:t>/kW</w:t>
            </w:r>
            <w:r>
              <w:rPr>
                <w:rFonts w:hint="eastAsia" w:ascii="仿宋_GB2312" w:hAnsi="宋体" w:cs="宋体"/>
                <w:b w:val="0"/>
                <w:bCs w:val="0"/>
                <w:szCs w:val="32"/>
              </w:rPr>
              <w:t>·</w:t>
            </w:r>
            <w:r>
              <w:rPr>
                <w:rFonts w:ascii="仿宋_GB2312" w:hAnsi="宋体" w:cs="宋体"/>
                <w:b w:val="0"/>
                <w:bCs w:val="0"/>
                <w:szCs w:val="32"/>
              </w:rPr>
              <w:t>h</w:t>
            </w:r>
            <w:r>
              <w:rPr>
                <w:rFonts w:hint="eastAsia" w:ascii="仿宋_GB2312" w:hAnsi="宋体" w:cs="宋体"/>
                <w:b w:val="0"/>
                <w:bCs w:val="0"/>
                <w:szCs w:val="32"/>
              </w:rPr>
              <w:t>）</w:t>
            </w:r>
          </w:p>
        </w:tc>
        <w:tc>
          <w:tcPr>
            <w:tcW w:w="1123" w:type="pct"/>
            <w:tcBorders>
              <w:top w:val="single" w:color="5B9BD5" w:sz="4" w:space="0"/>
              <w:left w:val="single" w:color="5B9BD5" w:sz="4" w:space="0"/>
              <w:bottom w:val="single" w:color="5B9BD5" w:sz="4" w:space="0"/>
              <w:right w:val="single" w:color="5B9BD5" w:sz="4" w:space="0"/>
            </w:tcBorders>
            <w:vAlign w:val="center"/>
          </w:tcPr>
          <w:p w14:paraId="2C78B9CE">
            <w:pPr>
              <w:spacing w:line="440" w:lineRule="exact"/>
              <w:jc w:val="center"/>
              <w:rPr>
                <w:rFonts w:ascii="仿宋_GB2312" w:hAnsi="宋体" w:cs="宋体"/>
                <w:szCs w:val="32"/>
              </w:rPr>
            </w:pPr>
            <w:r>
              <w:rPr>
                <w:rFonts w:hint="eastAsia" w:ascii="仿宋_GB2312" w:hAnsi="宋体" w:cs="宋体"/>
                <w:szCs w:val="32"/>
              </w:rPr>
              <w:t>0.57</w:t>
            </w:r>
          </w:p>
        </w:tc>
        <w:tc>
          <w:tcPr>
            <w:tcW w:w="2033" w:type="pct"/>
            <w:tcBorders>
              <w:top w:val="single" w:color="5B9BD5" w:sz="4" w:space="0"/>
              <w:left w:val="single" w:color="5B9BD5" w:sz="4" w:space="0"/>
              <w:bottom w:val="single" w:color="5B9BD5" w:sz="4" w:space="0"/>
              <w:right w:val="single" w:color="5B9BD5" w:sz="4" w:space="0"/>
            </w:tcBorders>
            <w:vAlign w:val="center"/>
          </w:tcPr>
          <w:p w14:paraId="7BF66C7E">
            <w:pPr>
              <w:spacing w:line="440" w:lineRule="exact"/>
              <w:jc w:val="center"/>
              <w:rPr>
                <w:rFonts w:ascii="仿宋_GB2312" w:hAnsi="宋体" w:cs="宋体"/>
                <w:szCs w:val="32"/>
              </w:rPr>
            </w:pPr>
            <w:r>
              <w:rPr>
                <w:rFonts w:hint="eastAsia" w:ascii="仿宋_GB2312" w:hAnsi="宋体" w:cs="宋体"/>
                <w:szCs w:val="32"/>
              </w:rPr>
              <w:t>-</w:t>
            </w:r>
          </w:p>
        </w:tc>
      </w:tr>
      <w:tr w14:paraId="473729CB">
        <w:tblPrEx>
          <w:tblBorders>
            <w:top w:val="single" w:color="5B9BD5" w:sz="4" w:space="0"/>
            <w:left w:val="single" w:color="5B9BD5" w:sz="4" w:space="0"/>
            <w:bottom w:val="single" w:color="5B9BD5" w:sz="4" w:space="0"/>
            <w:right w:val="single" w:color="5B9BD5" w:sz="4" w:space="0"/>
            <w:insideH w:val="single" w:color="5B9BD5" w:sz="4" w:space="0"/>
            <w:insideV w:val="single" w:color="5B9BD5" w:sz="4" w:space="0"/>
          </w:tblBorders>
          <w:tblCellMar>
            <w:top w:w="0" w:type="dxa"/>
            <w:left w:w="108" w:type="dxa"/>
            <w:bottom w:w="0" w:type="dxa"/>
            <w:right w:w="108" w:type="dxa"/>
          </w:tblCellMar>
        </w:tblPrEx>
        <w:trPr>
          <w:cantSplit/>
          <w:trHeight w:val="454" w:hRule="atLeast"/>
          <w:jc w:val="center"/>
        </w:trPr>
        <w:tc>
          <w:tcPr>
            <w:tcW w:w="1844" w:type="pct"/>
            <w:tcBorders>
              <w:top w:val="single" w:color="5B9BD5" w:sz="4" w:space="0"/>
              <w:left w:val="single" w:color="5B9BD5" w:sz="4" w:space="0"/>
              <w:bottom w:val="single" w:color="5B9BD5" w:sz="4" w:space="0"/>
              <w:right w:val="single" w:color="5B9BD5" w:sz="4" w:space="0"/>
            </w:tcBorders>
            <w:vAlign w:val="center"/>
          </w:tcPr>
          <w:p w14:paraId="774F06B9">
            <w:pPr>
              <w:spacing w:line="440" w:lineRule="exact"/>
              <w:jc w:val="center"/>
              <w:rPr>
                <w:rFonts w:ascii="仿宋_GB2312" w:hAnsi="宋体" w:cs="宋体"/>
                <w:b w:val="0"/>
                <w:bCs w:val="0"/>
                <w:szCs w:val="32"/>
              </w:rPr>
            </w:pPr>
            <w:r>
              <w:rPr>
                <w:rFonts w:hint="eastAsia" w:ascii="仿宋_GB2312" w:hAnsi="宋体" w:cs="宋体"/>
                <w:b w:val="0"/>
                <w:bCs w:val="0"/>
                <w:szCs w:val="32"/>
              </w:rPr>
              <w:t>工业用气成本（元</w:t>
            </w:r>
            <w:r>
              <w:rPr>
                <w:rFonts w:ascii="仿宋_GB2312" w:hAnsi="宋体" w:cs="宋体"/>
                <w:b w:val="0"/>
                <w:bCs w:val="0"/>
                <w:szCs w:val="32"/>
              </w:rPr>
              <w:t>/m³</w:t>
            </w:r>
            <w:r>
              <w:rPr>
                <w:rFonts w:hint="eastAsia" w:ascii="仿宋_GB2312" w:hAnsi="宋体" w:cs="宋体"/>
                <w:b w:val="0"/>
                <w:bCs w:val="0"/>
                <w:szCs w:val="32"/>
              </w:rPr>
              <w:t>）</w:t>
            </w:r>
          </w:p>
        </w:tc>
        <w:tc>
          <w:tcPr>
            <w:tcW w:w="1123" w:type="pct"/>
            <w:tcBorders>
              <w:top w:val="single" w:color="4472C4" w:sz="4" w:space="0"/>
              <w:left w:val="single" w:color="4472C4" w:sz="4" w:space="0"/>
              <w:bottom w:val="single" w:color="4472C4" w:sz="4" w:space="0"/>
              <w:right w:val="single" w:color="4472C4" w:sz="4" w:space="0"/>
            </w:tcBorders>
            <w:vAlign w:val="center"/>
          </w:tcPr>
          <w:p w14:paraId="12BAFDD6">
            <w:pPr>
              <w:spacing w:line="440" w:lineRule="exact"/>
              <w:jc w:val="center"/>
              <w:rPr>
                <w:rFonts w:ascii="仿宋_GB2312" w:hAnsi="宋体" w:cs="宋体"/>
                <w:szCs w:val="32"/>
              </w:rPr>
            </w:pPr>
            <w:r>
              <w:rPr>
                <w:rFonts w:hint="eastAsia" w:ascii="仿宋_GB2312" w:hAnsi="宋体" w:cs="宋体"/>
                <w:szCs w:val="32"/>
              </w:rPr>
              <w:t>2.51</w:t>
            </w:r>
          </w:p>
        </w:tc>
        <w:tc>
          <w:tcPr>
            <w:tcW w:w="2033" w:type="pct"/>
            <w:tcBorders>
              <w:top w:val="single" w:color="4472C4" w:sz="4" w:space="0"/>
              <w:left w:val="single" w:color="4472C4" w:sz="4" w:space="0"/>
              <w:bottom w:val="single" w:color="4472C4" w:sz="4" w:space="0"/>
              <w:right w:val="single" w:color="4472C4" w:sz="4" w:space="0"/>
            </w:tcBorders>
            <w:vAlign w:val="center"/>
          </w:tcPr>
          <w:p w14:paraId="02D699D6">
            <w:pPr>
              <w:spacing w:line="440" w:lineRule="exact"/>
              <w:jc w:val="center"/>
              <w:rPr>
                <w:rFonts w:ascii="仿宋_GB2312" w:hAnsi="宋体" w:cs="宋体"/>
                <w:szCs w:val="32"/>
              </w:rPr>
            </w:pPr>
            <w:r>
              <w:rPr>
                <w:rFonts w:hint="eastAsia" w:ascii="仿宋_GB2312" w:hAnsi="宋体" w:cs="宋体"/>
                <w:szCs w:val="32"/>
              </w:rPr>
              <w:t>供气企业可按照贵阳市区收费标准实行“同城同价”</w:t>
            </w:r>
          </w:p>
        </w:tc>
      </w:tr>
    </w:tbl>
    <w:p w14:paraId="6DFDF8FD">
      <w:pPr>
        <w:pStyle w:val="3"/>
        <w:spacing w:before="0" w:after="0" w:line="580" w:lineRule="exact"/>
        <w:ind w:firstLine="643" w:firstLineChars="200"/>
        <w:rPr>
          <w:rFonts w:ascii="黑体" w:hAnsi="黑体" w:eastAsia="黑体" w:cs="宋体"/>
          <w:color w:val="000000" w:themeColor="text1"/>
          <w:sz w:val="32"/>
          <w14:textFill>
            <w14:solidFill>
              <w14:schemeClr w14:val="tx1"/>
            </w14:solidFill>
          </w14:textFill>
        </w:rPr>
      </w:pPr>
      <w:bookmarkStart w:id="16" w:name="_Toc76718401"/>
      <w:bookmarkStart w:id="17" w:name="_Toc78208224"/>
      <w:r>
        <w:rPr>
          <w:rFonts w:hint="eastAsia" w:ascii="黑体" w:hAnsi="黑体" w:eastAsia="黑体" w:cs="宋体"/>
          <w:color w:val="000000" w:themeColor="text1"/>
          <w:sz w:val="32"/>
          <w14:textFill>
            <w14:solidFill>
              <w14:schemeClr w14:val="tx1"/>
            </w14:solidFill>
          </w14:textFill>
        </w:rPr>
        <w:t>三、区位交通优势</w:t>
      </w:r>
      <w:bookmarkEnd w:id="16"/>
      <w:bookmarkEnd w:id="17"/>
    </w:p>
    <w:p w14:paraId="11542E8D">
      <w:pPr>
        <w:spacing w:line="580" w:lineRule="exact"/>
        <w:ind w:firstLine="640" w:firstLineChars="200"/>
        <w:rPr>
          <w:rFonts w:ascii="仿宋_GB2312" w:hAnsi="宋体" w:cs="宋体"/>
          <w:sz w:val="32"/>
          <w:szCs w:val="32"/>
        </w:rPr>
      </w:pPr>
      <w:r>
        <w:rPr>
          <w:rFonts w:hint="eastAsia" w:ascii="仿宋_GB2312" w:hAnsi="宋体" w:cs="宋体"/>
          <w:sz w:val="32"/>
          <w:szCs w:val="32"/>
        </w:rPr>
        <w:t>息烽位于西南两重镇的中间节点，地理区位优势明显。息烽县城南离贵州省会城市贵阳市</w:t>
      </w:r>
      <w:r>
        <w:rPr>
          <w:rFonts w:ascii="仿宋_GB2312" w:hAnsi="宋体" w:cs="宋体"/>
          <w:sz w:val="32"/>
          <w:szCs w:val="32"/>
        </w:rPr>
        <w:t>61公里，北距历史名城遵义市87公里，处于西南两重镇——贵阳市和遵义市的交汇区域，同时受到贵阳和遵义“双核”的辐射带动。贵阳和遵义是黔中城市群中最重要的两大都市，属国家重点支持建设的黔中城市群，贵遵同城发展已成必然。随着贵阳都市区的向北扩张和遵义都市区的向南拓展，对于地处贵遵两大都市区中间节点的息烽，其经济发展战略地位和城市功能承接作用将迅速提高，区位优势将更加明显和突出，在未来黔中地区经济社会发展过程中将扮演更加重要的角色。</w:t>
      </w:r>
    </w:p>
    <w:p w14:paraId="2A97B931">
      <w:pPr>
        <w:spacing w:line="580" w:lineRule="exact"/>
        <w:ind w:firstLine="640" w:firstLineChars="200"/>
        <w:rPr>
          <w:rFonts w:ascii="Times New Roman" w:hAnsi="Times New Roman" w:cs="Times New Roman"/>
          <w:szCs w:val="28"/>
        </w:rPr>
      </w:pPr>
      <w:r>
        <w:rPr>
          <w:rFonts w:hint="eastAsia" w:ascii="仿宋_GB2312" w:hAnsi="宋体" w:cs="宋体"/>
          <w:sz w:val="32"/>
          <w:szCs w:val="32"/>
        </w:rPr>
        <w:t>息烽是西南出海要道，黔中交通枢纽。兰海高速公路、川黔铁路、国道</w:t>
      </w:r>
      <w:r>
        <w:rPr>
          <w:rFonts w:ascii="仿宋_GB2312" w:hAnsi="宋体" w:cs="宋体"/>
          <w:sz w:val="32"/>
          <w:szCs w:val="32"/>
        </w:rPr>
        <w:t>210、渝黔快铁在息烽境内从北至南穿境而过，是我国西北和西南地区南下出海的必经之路，也是贵阳市北上的“桥头堡”。贯穿东西的都格高速不但具有连接黔中经济区辐射带动圈重要节点城镇的作用，而且与南北向的兰海高速在息烽境内十字交叉，使息烽与省内主要城市的联系更加紧密。境内南北向和东西向的高速公路和铁路将息烽与省内主要城市——贵阳、遵义、安顺、都匀、毕节、铜仁、六盘水和凯里等有机地</w:t>
      </w:r>
      <w:r>
        <w:rPr>
          <w:rFonts w:hint="eastAsia" w:ascii="仿宋_GB2312" w:hAnsi="宋体" w:cs="宋体"/>
          <w:sz w:val="32"/>
          <w:szCs w:val="32"/>
        </w:rPr>
        <w:t>连接起来</w:t>
      </w:r>
      <w:r>
        <w:rPr>
          <w:rFonts w:ascii="仿宋_GB2312" w:hAnsi="宋体" w:cs="宋体"/>
          <w:sz w:val="32"/>
          <w:szCs w:val="32"/>
        </w:rPr>
        <w:t>，交通四通八达，交通枢纽地位突出,投资区位良好，发展潜力巨大</w:t>
      </w:r>
      <w:r>
        <w:rPr>
          <w:rFonts w:hint="eastAsia" w:ascii="仿宋_GB2312" w:hAnsi="宋体" w:cs="宋体"/>
          <w:sz w:val="32"/>
          <w:szCs w:val="32"/>
        </w:rPr>
        <w:t>。</w:t>
      </w:r>
    </w:p>
    <w:p w14:paraId="77F3B206">
      <w:pPr>
        <w:spacing w:line="276" w:lineRule="auto"/>
        <w:ind w:firstLine="562" w:firstLineChars="200"/>
        <w:jc w:val="center"/>
        <w:rPr>
          <w:rFonts w:ascii="仿宋_GB2312" w:hAnsi="宋体" w:cs="宋体"/>
          <w:b/>
          <w:szCs w:val="32"/>
        </w:rPr>
      </w:pPr>
    </w:p>
    <w:p w14:paraId="18671B87">
      <w:pPr>
        <w:spacing w:line="276" w:lineRule="auto"/>
        <w:ind w:firstLine="562" w:firstLineChars="200"/>
        <w:jc w:val="center"/>
        <w:rPr>
          <w:rFonts w:ascii="仿宋_GB2312" w:hAnsi="宋体" w:cs="宋体"/>
          <w:b/>
          <w:szCs w:val="32"/>
        </w:rPr>
      </w:pPr>
    </w:p>
    <w:p w14:paraId="7832F0D8">
      <w:pPr>
        <w:spacing w:line="276" w:lineRule="auto"/>
        <w:ind w:firstLine="562" w:firstLineChars="200"/>
        <w:jc w:val="center"/>
        <w:rPr>
          <w:rFonts w:ascii="仿宋_GB2312" w:hAnsi="宋体" w:cs="宋体"/>
          <w:b/>
          <w:szCs w:val="32"/>
        </w:rPr>
      </w:pPr>
    </w:p>
    <w:p w14:paraId="70E3E738">
      <w:pPr>
        <w:spacing w:line="276" w:lineRule="auto"/>
        <w:ind w:firstLine="562" w:firstLineChars="200"/>
        <w:jc w:val="center"/>
        <w:rPr>
          <w:rFonts w:ascii="仿宋_GB2312" w:hAnsi="宋体" w:cs="宋体"/>
          <w:b/>
          <w:szCs w:val="32"/>
        </w:rPr>
      </w:pPr>
      <w:bookmarkStart w:id="62" w:name="_GoBack"/>
      <w:bookmarkEnd w:id="62"/>
    </w:p>
    <w:p w14:paraId="243B6158">
      <w:pPr>
        <w:spacing w:line="276" w:lineRule="auto"/>
        <w:ind w:firstLine="562" w:firstLineChars="200"/>
        <w:jc w:val="center"/>
        <w:rPr>
          <w:rFonts w:ascii="仿宋_GB2312" w:hAnsi="宋体" w:cs="宋体"/>
          <w:b/>
          <w:szCs w:val="32"/>
        </w:rPr>
      </w:pPr>
    </w:p>
    <w:p w14:paraId="65181324">
      <w:pPr>
        <w:spacing w:line="276" w:lineRule="auto"/>
        <w:ind w:firstLine="562" w:firstLineChars="200"/>
        <w:jc w:val="center"/>
        <w:rPr>
          <w:rFonts w:ascii="仿宋_GB2312" w:hAnsi="宋体" w:cs="宋体"/>
          <w:b/>
          <w:szCs w:val="32"/>
        </w:rPr>
      </w:pPr>
      <w:r>
        <w:rPr>
          <w:rFonts w:hint="eastAsia" w:ascii="仿宋_GB2312" w:hAnsi="宋体" w:cs="宋体"/>
          <w:b/>
          <w:szCs w:val="32"/>
        </w:rPr>
        <w:t xml:space="preserve">图表 </w:t>
      </w:r>
      <w:r>
        <w:rPr>
          <w:rFonts w:ascii="仿宋_GB2312" w:hAnsi="宋体" w:cs="宋体"/>
          <w:b/>
          <w:szCs w:val="32"/>
        </w:rPr>
        <w:t>4  息烽县区位图</w:t>
      </w:r>
    </w:p>
    <w:p w14:paraId="4D7EDA05">
      <w:pPr>
        <w:spacing w:line="276" w:lineRule="auto"/>
        <w:jc w:val="center"/>
        <w:rPr>
          <w:rFonts w:ascii="仿宋_GB2312" w:hAnsi="宋体" w:cs="宋体"/>
          <w:sz w:val="32"/>
          <w:szCs w:val="32"/>
        </w:rPr>
      </w:pPr>
      <w:r>
        <w:rPr>
          <w:rFonts w:hint="eastAsia" w:ascii="仿宋_GB2312" w:hAnsi="宋体" w:cs="宋体"/>
        </w:rPr>
        <w:drawing>
          <wp:inline distT="0" distB="0" distL="114300" distR="114300">
            <wp:extent cx="5141595" cy="3415665"/>
            <wp:effectExtent l="0" t="0" r="1905" b="0"/>
            <wp:docPr id="1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IMG_256"/>
                    <pic:cNvPicPr>
                      <a:picLocks noChangeAspect="1"/>
                    </pic:cNvPicPr>
                  </pic:nvPicPr>
                  <pic:blipFill>
                    <a:blip r:embed="rId11"/>
                    <a:srcRect b="1215"/>
                    <a:stretch>
                      <a:fillRect/>
                    </a:stretch>
                  </pic:blipFill>
                  <pic:spPr>
                    <a:xfrm>
                      <a:off x="0" y="0"/>
                      <a:ext cx="5212206" cy="3462758"/>
                    </a:xfrm>
                    <a:prstGeom prst="rect">
                      <a:avLst/>
                    </a:prstGeom>
                    <a:noFill/>
                    <a:ln>
                      <a:noFill/>
                    </a:ln>
                  </pic:spPr>
                </pic:pic>
              </a:graphicData>
            </a:graphic>
          </wp:inline>
        </w:drawing>
      </w:r>
    </w:p>
    <w:p w14:paraId="28A09ABB">
      <w:pPr>
        <w:jc w:val="center"/>
        <w:rPr>
          <w:rFonts w:ascii="Times New Roman" w:hAnsi="Times New Roman" w:cs="Times New Roman"/>
          <w:szCs w:val="28"/>
        </w:rPr>
      </w:pPr>
    </w:p>
    <w:p w14:paraId="1C2E05F8">
      <w:pPr>
        <w:spacing w:line="580" w:lineRule="exact"/>
        <w:ind w:firstLine="640" w:firstLineChars="200"/>
        <w:rPr>
          <w:rFonts w:ascii="仿宋_GB2312" w:hAnsi="宋体" w:cs="宋体"/>
          <w:sz w:val="32"/>
          <w:szCs w:val="32"/>
        </w:rPr>
      </w:pPr>
      <w:r>
        <w:rPr>
          <w:rFonts w:hint="eastAsia" w:ascii="仿宋_GB2312" w:hAnsi="宋体" w:cs="宋体"/>
          <w:sz w:val="32"/>
          <w:szCs w:val="32"/>
        </w:rPr>
        <w:t>良好的区位交通条件为项目原辅材料和产品的运输提供了良好的物流条件。</w:t>
      </w:r>
    </w:p>
    <w:p w14:paraId="142E6557">
      <w:pPr>
        <w:pStyle w:val="3"/>
        <w:spacing w:before="0" w:after="0" w:line="580" w:lineRule="exact"/>
        <w:ind w:firstLine="643" w:firstLineChars="200"/>
        <w:rPr>
          <w:rFonts w:ascii="黑体" w:hAnsi="黑体" w:eastAsia="黑体" w:cs="宋体"/>
          <w:color w:val="000000" w:themeColor="text1"/>
          <w:sz w:val="32"/>
          <w14:textFill>
            <w14:solidFill>
              <w14:schemeClr w14:val="tx1"/>
            </w14:solidFill>
          </w14:textFill>
        </w:rPr>
      </w:pPr>
      <w:bookmarkStart w:id="18" w:name="_Toc76570159"/>
      <w:bookmarkStart w:id="19" w:name="_Toc76569938"/>
      <w:bookmarkStart w:id="20" w:name="_Toc20114"/>
      <w:bookmarkStart w:id="21" w:name="_Toc77771374"/>
      <w:bookmarkStart w:id="22" w:name="_Toc78208225"/>
      <w:r>
        <w:rPr>
          <w:rFonts w:hint="eastAsia" w:ascii="黑体" w:hAnsi="黑体" w:eastAsia="黑体" w:cs="宋体"/>
          <w:color w:val="000000" w:themeColor="text1"/>
          <w:sz w:val="32"/>
          <w14:textFill>
            <w14:solidFill>
              <w14:schemeClr w14:val="tx1"/>
            </w14:solidFill>
          </w14:textFill>
        </w:rPr>
        <w:t>四、</w:t>
      </w:r>
      <w:bookmarkEnd w:id="18"/>
      <w:bookmarkEnd w:id="19"/>
      <w:bookmarkEnd w:id="20"/>
      <w:r>
        <w:rPr>
          <w:rFonts w:hint="eastAsia" w:ascii="黑体" w:hAnsi="黑体" w:eastAsia="黑体" w:cs="宋体"/>
          <w:color w:val="000000" w:themeColor="text1"/>
          <w:sz w:val="32"/>
          <w14:textFill>
            <w14:solidFill>
              <w14:schemeClr w14:val="tx1"/>
            </w14:solidFill>
          </w14:textFill>
        </w:rPr>
        <w:t>营商环境优势</w:t>
      </w:r>
      <w:bookmarkEnd w:id="21"/>
      <w:bookmarkEnd w:id="22"/>
    </w:p>
    <w:p w14:paraId="3C3F6781">
      <w:pPr>
        <w:spacing w:line="580" w:lineRule="exact"/>
        <w:ind w:firstLine="640" w:firstLineChars="200"/>
        <w:rPr>
          <w:rFonts w:ascii="仿宋_GB2312" w:hAnsi="宋体" w:cs="宋体"/>
          <w:sz w:val="32"/>
          <w:szCs w:val="32"/>
        </w:rPr>
      </w:pPr>
      <w:r>
        <w:rPr>
          <w:rFonts w:hint="eastAsia" w:ascii="仿宋_GB2312" w:hAnsi="宋体" w:cs="宋体"/>
          <w:sz w:val="32"/>
          <w:szCs w:val="32"/>
        </w:rPr>
        <w:t>息烽县紧紧围绕“一品一业、百业富贵”的新愿景和“成为开放发展的‘新亮点’，打造中高端制造业核心配套区”的新定位，集中精力、集中力量、集中资源狠抓实体经济，着力打造“7+1”服务平台，做实产业配套支撑。产业链招商平台——以息烽经开区为载体，完善园区配套设施，引进和培育企业入驻，全力打造园区孵化平台，提升园区承载力；金融服务平台——积极引进省内外股份制商业银行、证券公司、保险公司和中介服务机构来息设立分支机构，支持村镇银行到乡(镇)设立分支机构，鼓励商业银行向下延伸服务网点和开展业务；物流配送平台——规划建设三交港，打造集物流快递、综合服务为一体的商贸物流生态集聚圈；品牌培育平台——组建县级标准化专业技术委员会，制定一批产品、服务、管理标准，建立我县绿色发展标准体系，建设标准服务平台；营商平台——进一步提升网上办事大厅功能，统一规范投资项目审批流程，实现投资项目审批事项网上申请、网上补件、网上查询、网上办结；人才培训平台——探索建立科技成果等生产要素参与收益分配制度，建立规范有效的人才奖励机制；科技创新平台——建立政府、企业、高校与智库等“多方投入、成果共享、产学研一体”的协同创新机制；“大数据+5G”服务实体经济体系——推进“大数据+5G”战略行动，深化大数据与实体经济融合。</w:t>
      </w:r>
    </w:p>
    <w:p w14:paraId="06EEBEF9">
      <w:pPr>
        <w:pStyle w:val="2"/>
        <w:spacing w:before="0" w:after="0" w:line="580" w:lineRule="exact"/>
        <w:jc w:val="center"/>
        <w:rPr>
          <w:rFonts w:ascii="方正小标宋简体" w:hAnsi="宋体" w:eastAsia="方正小标宋简体" w:cs="宋体"/>
          <w:color w:val="000000" w:themeColor="text1"/>
          <w:sz w:val="44"/>
          <w14:textFill>
            <w14:solidFill>
              <w14:schemeClr w14:val="tx1"/>
            </w14:solidFill>
          </w14:textFill>
        </w:rPr>
      </w:pPr>
      <w:bookmarkStart w:id="23" w:name="_Toc76718402"/>
      <w:r>
        <w:rPr>
          <w:rFonts w:ascii="方正小标宋简体" w:hAnsi="宋体" w:eastAsia="方正小标宋简体" w:cs="宋体"/>
          <w:color w:val="000000" w:themeColor="text1"/>
          <w:sz w:val="44"/>
          <w14:textFill>
            <w14:solidFill>
              <w14:schemeClr w14:val="tx1"/>
            </w14:solidFill>
          </w14:textFill>
        </w:rPr>
        <w:br w:type="page"/>
      </w:r>
    </w:p>
    <w:p w14:paraId="68B5BA9B">
      <w:pPr>
        <w:pStyle w:val="2"/>
        <w:spacing w:before="0" w:after="0" w:line="580" w:lineRule="exact"/>
        <w:jc w:val="center"/>
        <w:rPr>
          <w:rFonts w:ascii="方正小标宋简体" w:hAnsi="宋体" w:eastAsia="方正小标宋简体" w:cs="宋体"/>
          <w:color w:val="000000" w:themeColor="text1"/>
          <w:sz w:val="44"/>
          <w14:textFill>
            <w14:solidFill>
              <w14:schemeClr w14:val="tx1"/>
            </w14:solidFill>
          </w14:textFill>
        </w:rPr>
      </w:pPr>
      <w:bookmarkStart w:id="24" w:name="_Toc78208226"/>
      <w:r>
        <w:rPr>
          <w:rFonts w:ascii="方正小标宋简体" w:hAnsi="宋体" w:eastAsia="方正小标宋简体" w:cs="宋体"/>
          <w:color w:val="000000" w:themeColor="text1"/>
          <w:sz w:val="44"/>
          <w14:textFill>
            <w14:solidFill>
              <w14:schemeClr w14:val="tx1"/>
            </w14:solidFill>
          </w14:textFill>
        </w:rPr>
        <w:t>第三章</w:t>
      </w:r>
      <w:r>
        <w:rPr>
          <w:rFonts w:hint="eastAsia" w:ascii="方正小标宋简体" w:hAnsi="宋体" w:eastAsia="方正小标宋简体" w:cs="宋体"/>
          <w:color w:val="000000" w:themeColor="text1"/>
          <w:sz w:val="44"/>
          <w14:textFill>
            <w14:solidFill>
              <w14:schemeClr w14:val="tx1"/>
            </w14:solidFill>
          </w14:textFill>
        </w:rPr>
        <w:t xml:space="preserve"> </w:t>
      </w:r>
      <w:r>
        <w:rPr>
          <w:rFonts w:ascii="方正小标宋简体" w:hAnsi="宋体" w:eastAsia="方正小标宋简体" w:cs="宋体"/>
          <w:color w:val="000000" w:themeColor="text1"/>
          <w:sz w:val="44"/>
          <w14:textFill>
            <w14:solidFill>
              <w14:schemeClr w14:val="tx1"/>
            </w14:solidFill>
          </w14:textFill>
        </w:rPr>
        <w:t>项目开发建设方案</w:t>
      </w:r>
      <w:bookmarkEnd w:id="23"/>
      <w:bookmarkEnd w:id="24"/>
    </w:p>
    <w:p w14:paraId="0D8E05D1">
      <w:pPr>
        <w:spacing w:line="580" w:lineRule="exact"/>
        <w:rPr>
          <w:rFonts w:ascii="方正小标宋简体" w:eastAsia="方正小标宋简体"/>
          <w:sz w:val="44"/>
          <w:szCs w:val="44"/>
        </w:rPr>
      </w:pPr>
    </w:p>
    <w:p w14:paraId="20E337C5">
      <w:pPr>
        <w:pStyle w:val="3"/>
        <w:spacing w:before="0" w:after="0" w:line="580" w:lineRule="exact"/>
        <w:ind w:firstLine="643" w:firstLineChars="200"/>
        <w:rPr>
          <w:rFonts w:ascii="黑体" w:hAnsi="黑体" w:eastAsia="黑体" w:cs="宋体"/>
          <w:color w:val="000000" w:themeColor="text1"/>
          <w:sz w:val="32"/>
          <w14:textFill>
            <w14:solidFill>
              <w14:schemeClr w14:val="tx1"/>
            </w14:solidFill>
          </w14:textFill>
        </w:rPr>
      </w:pPr>
      <w:bookmarkStart w:id="25" w:name="_Toc78208227"/>
      <w:bookmarkStart w:id="26" w:name="_Toc76718403"/>
      <w:r>
        <w:rPr>
          <w:rFonts w:ascii="黑体" w:hAnsi="黑体" w:eastAsia="黑体" w:cs="宋体"/>
          <w:color w:val="000000" w:themeColor="text1"/>
          <w:sz w:val="32"/>
          <w14:textFill>
            <w14:solidFill>
              <w14:schemeClr w14:val="tx1"/>
            </w14:solidFill>
          </w14:textFill>
        </w:rPr>
        <w:t>一、项目建设背景</w:t>
      </w:r>
      <w:bookmarkEnd w:id="25"/>
      <w:bookmarkEnd w:id="26"/>
    </w:p>
    <w:p w14:paraId="4E6B78E9">
      <w:pPr>
        <w:spacing w:line="580" w:lineRule="exact"/>
        <w:ind w:firstLine="640" w:firstLineChars="200"/>
        <w:rPr>
          <w:rFonts w:ascii="仿宋_GB2312" w:hAnsi="宋体" w:cs="宋体"/>
          <w:sz w:val="32"/>
          <w:szCs w:val="32"/>
        </w:rPr>
      </w:pPr>
      <w:bookmarkStart w:id="27" w:name="_Hlk57640964"/>
      <w:r>
        <w:rPr>
          <w:rFonts w:hint="eastAsia" w:ascii="仿宋_GB2312" w:hAnsi="宋体" w:cs="宋体"/>
          <w:sz w:val="32"/>
          <w:szCs w:val="32"/>
        </w:rPr>
        <w:t>装备制造业是一个国家制造业的脊梁，对推动第二产业发展具有重要支撑作用。贵州省先后发布《贵州省十大千亿级工业产业振兴行动方案》《贵州省先进装备制造产业振兴行动实施方案》等政策推动先进装备制造业高质量发展。同时，贵州是中国磷矿资源大省,已形成了较为完备的磷化工产业体系，贵州省对磷化工装备需求十分旺盛。同时，贵阳作为全国生态文明示范城市来建设，在节能环保、绿色产业方面有很大的市场机会和空间。</w:t>
      </w:r>
    </w:p>
    <w:p w14:paraId="73A9DB7E">
      <w:pPr>
        <w:spacing w:line="580" w:lineRule="exact"/>
        <w:ind w:firstLine="640" w:firstLineChars="200"/>
        <w:rPr>
          <w:rFonts w:ascii="仿宋_GB2312" w:hAnsi="宋体" w:cs="宋体"/>
          <w:sz w:val="32"/>
          <w:szCs w:val="32"/>
        </w:rPr>
      </w:pPr>
      <w:r>
        <w:rPr>
          <w:rFonts w:hint="eastAsia" w:ascii="仿宋_GB2312" w:hAnsi="宋体" w:cs="宋体"/>
          <w:sz w:val="32"/>
          <w:szCs w:val="32"/>
        </w:rPr>
        <w:t>息烽磷化工产业发展较为成熟、节能环保产业基础较为薄弱。在此背景下，息烽县依托息烽及邻近开阳县、福泉市等地众多磷化工企业需求，紧抓贵阳与中关村战略合作机遇，拟引进省内外各类资金，建设绿色环保化工装备制造项目。</w:t>
      </w:r>
    </w:p>
    <w:bookmarkEnd w:id="27"/>
    <w:p w14:paraId="367BF3AD">
      <w:pPr>
        <w:pStyle w:val="3"/>
        <w:spacing w:before="0" w:after="0" w:line="580" w:lineRule="exact"/>
        <w:ind w:firstLine="643" w:firstLineChars="200"/>
        <w:rPr>
          <w:rFonts w:ascii="黑体" w:hAnsi="黑体" w:eastAsia="黑体" w:cs="宋体"/>
          <w:color w:val="000000" w:themeColor="text1"/>
          <w:sz w:val="32"/>
          <w14:textFill>
            <w14:solidFill>
              <w14:schemeClr w14:val="tx1"/>
            </w14:solidFill>
          </w14:textFill>
        </w:rPr>
      </w:pPr>
      <w:bookmarkStart w:id="28" w:name="_Toc76718404"/>
      <w:bookmarkStart w:id="29" w:name="_Toc78208228"/>
      <w:r>
        <w:rPr>
          <w:rFonts w:ascii="黑体" w:hAnsi="黑体" w:eastAsia="黑体" w:cs="宋体"/>
          <w:color w:val="000000" w:themeColor="text1"/>
          <w:sz w:val="32"/>
          <w14:textFill>
            <w14:solidFill>
              <w14:schemeClr w14:val="tx1"/>
            </w14:solidFill>
          </w14:textFill>
        </w:rPr>
        <w:t>二、项目建设地点</w:t>
      </w:r>
      <w:bookmarkEnd w:id="28"/>
      <w:bookmarkEnd w:id="29"/>
    </w:p>
    <w:p w14:paraId="705804CC">
      <w:pPr>
        <w:spacing w:line="580" w:lineRule="exact"/>
        <w:ind w:firstLine="640" w:firstLineChars="200"/>
        <w:rPr>
          <w:rFonts w:ascii="仿宋_GB2312" w:hAnsi="宋体" w:cs="宋体"/>
          <w:sz w:val="32"/>
          <w:szCs w:val="32"/>
        </w:rPr>
      </w:pPr>
      <w:r>
        <w:rPr>
          <w:rFonts w:hint="eastAsia" w:ascii="仿宋_GB2312" w:hAnsi="宋体" w:cs="宋体"/>
          <w:sz w:val="32"/>
          <w:szCs w:val="32"/>
        </w:rPr>
        <w:t>项目建设地点位于贵州省贵阳市息烽县经济开发区永靖工业园规划范围内。永靖园区所处区域处于省城贵阳与历史名城遵义之间，位于“贵阳1小时城市经济圈”内，距离贵阳龙洞堡机场约72公里，距贵阳火车站约60公里，距遵义火车站约70公里，距遵义新舟机场90公里，区位优势明显。从息烽县域来看，永靖园区位于息烽小寨坝和永靖镇之间，紧邻贵遵高速公路、渝黔快速铁路、川黔铁路及210国道等交通要道,处于西南交通网重要节点上，区位交通条件优越。</w:t>
      </w:r>
    </w:p>
    <w:p w14:paraId="46B31643">
      <w:pPr>
        <w:spacing w:line="580" w:lineRule="exact"/>
        <w:jc w:val="center"/>
        <w:rPr>
          <w:rFonts w:ascii="仿宋_GB2312" w:hAnsi="宋体" w:cs="宋体"/>
          <w:b/>
          <w:bCs/>
          <w:szCs w:val="28"/>
        </w:rPr>
      </w:pPr>
      <w:r>
        <w:rPr>
          <w:rFonts w:ascii="仿宋_GB2312" w:hAnsi="宋体" w:cs="宋体"/>
          <w:b/>
          <w:bCs/>
          <w:szCs w:val="28"/>
        </w:rPr>
        <w:t xml:space="preserve">图表 5  </w:t>
      </w:r>
      <w:r>
        <w:rPr>
          <w:rFonts w:hint="eastAsia" w:ascii="仿宋_GB2312" w:hAnsi="宋体" w:cs="宋体"/>
          <w:b/>
          <w:bCs/>
          <w:szCs w:val="28"/>
        </w:rPr>
        <w:t>项目建设地址区位图</w:t>
      </w:r>
    </w:p>
    <w:p w14:paraId="5C87F3A7">
      <w:pPr>
        <w:spacing w:line="360" w:lineRule="auto"/>
        <w:jc w:val="center"/>
        <w:rPr>
          <w:rFonts w:ascii="Times New Roman" w:hAnsi="Times New Roman" w:cs="Times New Roman"/>
          <w:szCs w:val="28"/>
        </w:rPr>
      </w:pPr>
      <w:r>
        <w:drawing>
          <wp:inline distT="0" distB="0" distL="0" distR="0">
            <wp:extent cx="4548505" cy="5581650"/>
            <wp:effectExtent l="0" t="0" r="444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4552247" cy="5586334"/>
                    </a:xfrm>
                    <a:prstGeom prst="rect">
                      <a:avLst/>
                    </a:prstGeom>
                  </pic:spPr>
                </pic:pic>
              </a:graphicData>
            </a:graphic>
          </wp:inline>
        </w:drawing>
      </w:r>
    </w:p>
    <w:p w14:paraId="36505D6E">
      <w:pPr>
        <w:pStyle w:val="3"/>
        <w:spacing w:before="0" w:after="0" w:line="580" w:lineRule="exact"/>
        <w:ind w:firstLine="643" w:firstLineChars="200"/>
        <w:rPr>
          <w:rFonts w:ascii="黑体" w:hAnsi="黑体" w:eastAsia="黑体" w:cs="宋体"/>
          <w:color w:val="000000" w:themeColor="text1"/>
          <w:sz w:val="32"/>
          <w14:textFill>
            <w14:solidFill>
              <w14:schemeClr w14:val="tx1"/>
            </w14:solidFill>
          </w14:textFill>
        </w:rPr>
      </w:pPr>
      <w:bookmarkStart w:id="30" w:name="_Toc78208229"/>
      <w:bookmarkStart w:id="31" w:name="_Toc76718405"/>
      <w:r>
        <w:rPr>
          <w:rFonts w:ascii="黑体" w:hAnsi="黑体" w:eastAsia="黑体" w:cs="宋体"/>
          <w:color w:val="000000" w:themeColor="text1"/>
          <w:sz w:val="32"/>
          <w14:textFill>
            <w14:solidFill>
              <w14:schemeClr w14:val="tx1"/>
            </w14:solidFill>
          </w14:textFill>
        </w:rPr>
        <w:t>三、项目产品方案</w:t>
      </w:r>
      <w:bookmarkEnd w:id="30"/>
      <w:bookmarkEnd w:id="31"/>
    </w:p>
    <w:p w14:paraId="03D3E53B">
      <w:pPr>
        <w:spacing w:line="580" w:lineRule="exact"/>
        <w:ind w:firstLine="640" w:firstLineChars="200"/>
        <w:rPr>
          <w:rFonts w:ascii="仿宋_GB2312" w:hAnsi="宋体" w:cs="宋体"/>
          <w:sz w:val="32"/>
          <w:szCs w:val="32"/>
        </w:rPr>
      </w:pPr>
      <w:r>
        <w:rPr>
          <w:rFonts w:hint="eastAsia" w:ascii="仿宋_GB2312" w:hAnsi="宋体" w:cs="宋体"/>
          <w:sz w:val="32"/>
          <w:szCs w:val="32"/>
        </w:rPr>
        <w:t>该项目依托息烽县及邻近开阳县、福泉市等地众多磷化工企业需求，建设绿色环保化工装备制造项目。建成年产9000</w:t>
      </w:r>
      <w:r>
        <w:rPr>
          <w:rFonts w:ascii="仿宋_GB2312" w:hAnsi="宋体" w:cs="宋体"/>
          <w:sz w:val="32"/>
          <w:szCs w:val="32"/>
        </w:rPr>
        <w:t>0</w:t>
      </w:r>
      <w:r>
        <w:rPr>
          <w:rFonts w:hint="eastAsia" w:ascii="仿宋_GB2312" w:hAnsi="宋体" w:cs="宋体"/>
          <w:sz w:val="32"/>
          <w:szCs w:val="32"/>
        </w:rPr>
        <w:t>台绿色环保化工装备生产线，其中年产4000</w:t>
      </w:r>
      <w:r>
        <w:rPr>
          <w:rFonts w:ascii="仿宋_GB2312" w:hAnsi="宋体" w:cs="宋体"/>
          <w:sz w:val="32"/>
          <w:szCs w:val="32"/>
        </w:rPr>
        <w:t>0</w:t>
      </w:r>
      <w:r>
        <w:rPr>
          <w:rFonts w:hint="eastAsia" w:ascii="仿宋_GB2312" w:hAnsi="宋体" w:cs="宋体"/>
          <w:sz w:val="32"/>
          <w:szCs w:val="32"/>
        </w:rPr>
        <w:t>台泵、5000</w:t>
      </w:r>
      <w:r>
        <w:rPr>
          <w:rFonts w:ascii="仿宋_GB2312" w:hAnsi="宋体" w:cs="宋体"/>
          <w:sz w:val="32"/>
          <w:szCs w:val="32"/>
        </w:rPr>
        <w:t>0</w:t>
      </w:r>
      <w:r>
        <w:rPr>
          <w:rFonts w:hint="eastAsia" w:ascii="仿宋_GB2312" w:hAnsi="宋体" w:cs="宋体"/>
          <w:sz w:val="32"/>
          <w:szCs w:val="32"/>
        </w:rPr>
        <w:t>台阀。</w:t>
      </w:r>
    </w:p>
    <w:p w14:paraId="50C1CA0A">
      <w:pPr>
        <w:spacing w:line="580" w:lineRule="exact"/>
        <w:jc w:val="center"/>
        <w:rPr>
          <w:rFonts w:ascii="仿宋_GB2312" w:hAnsi="宋体" w:cs="宋体"/>
          <w:b/>
          <w:bCs/>
          <w:szCs w:val="28"/>
        </w:rPr>
      </w:pPr>
      <w:r>
        <w:rPr>
          <w:rFonts w:ascii="仿宋_GB2312" w:hAnsi="宋体" w:cs="宋体"/>
          <w:b/>
          <w:bCs/>
          <w:szCs w:val="28"/>
        </w:rPr>
        <w:t>图表 6  产品</w:t>
      </w:r>
      <w:r>
        <w:rPr>
          <w:rFonts w:hint="eastAsia" w:ascii="仿宋_GB2312" w:hAnsi="宋体" w:cs="宋体"/>
          <w:b/>
          <w:bCs/>
          <w:szCs w:val="28"/>
        </w:rPr>
        <w:t>系列一览表</w:t>
      </w:r>
    </w:p>
    <w:tbl>
      <w:tblPr>
        <w:tblStyle w:val="20"/>
        <w:tblW w:w="5000" w:type="pct"/>
        <w:jc w:val="center"/>
        <w:tblBorders>
          <w:top w:val="single" w:color="5B9BD5" w:themeColor="accent1" w:sz="4" w:space="0"/>
          <w:left w:val="single" w:color="5B9BD5" w:themeColor="accent1" w:sz="4" w:space="0"/>
          <w:bottom w:val="single" w:color="5B9BD5" w:themeColor="accent1" w:sz="4" w:space="0"/>
          <w:right w:val="single" w:color="5B9BD5" w:themeColor="accent1" w:sz="4" w:space="0"/>
          <w:insideH w:val="single" w:color="5B9BD5" w:themeColor="accent1" w:sz="4" w:space="0"/>
          <w:insideV w:val="single" w:color="5B9BD5" w:themeColor="accent1" w:sz="4" w:space="0"/>
        </w:tblBorders>
        <w:tblLayout w:type="autofit"/>
        <w:tblCellMar>
          <w:top w:w="0" w:type="dxa"/>
          <w:left w:w="108" w:type="dxa"/>
          <w:bottom w:w="0" w:type="dxa"/>
          <w:right w:w="108" w:type="dxa"/>
        </w:tblCellMar>
      </w:tblPr>
      <w:tblGrid>
        <w:gridCol w:w="4530"/>
        <w:gridCol w:w="4530"/>
      </w:tblGrid>
      <w:tr w14:paraId="7FD0E687">
        <w:tblPrEx>
          <w:tblBorders>
            <w:top w:val="single" w:color="5B9BD5" w:themeColor="accent1" w:sz="4" w:space="0"/>
            <w:left w:val="single" w:color="5B9BD5" w:themeColor="accent1" w:sz="4" w:space="0"/>
            <w:bottom w:val="single" w:color="5B9BD5" w:themeColor="accent1" w:sz="4" w:space="0"/>
            <w:right w:val="single" w:color="5B9BD5" w:themeColor="accent1" w:sz="4" w:space="0"/>
            <w:insideH w:val="single" w:color="5B9BD5" w:themeColor="accent1" w:sz="4" w:space="0"/>
            <w:insideV w:val="single" w:color="5B9BD5" w:themeColor="accent1" w:sz="4" w:space="0"/>
          </w:tblBorders>
          <w:tblCellMar>
            <w:top w:w="0" w:type="dxa"/>
            <w:left w:w="108" w:type="dxa"/>
            <w:bottom w:w="0" w:type="dxa"/>
            <w:right w:w="108" w:type="dxa"/>
          </w:tblCellMar>
        </w:tblPrEx>
        <w:trPr>
          <w:trHeight w:val="567" w:hRule="atLeast"/>
          <w:jc w:val="center"/>
        </w:trPr>
        <w:tc>
          <w:tcPr>
            <w:tcW w:w="2500" w:type="pct"/>
            <w:tcBorders>
              <w:bottom w:val="nil"/>
              <w:right w:val="nil"/>
            </w:tcBorders>
            <w:shd w:val="clear" w:color="auto" w:fill="4472C4" w:themeFill="accent5"/>
            <w:vAlign w:val="center"/>
          </w:tcPr>
          <w:p w14:paraId="6EDDFCBB">
            <w:pPr>
              <w:spacing w:line="440" w:lineRule="exact"/>
              <w:jc w:val="center"/>
              <w:rPr>
                <w:rFonts w:ascii="黑体" w:hAnsi="黑体" w:eastAsia="黑体" w:cs="宋体"/>
                <w:b/>
                <w:bCs/>
                <w:color w:val="FFFFFF" w:themeColor="background1"/>
                <w:kern w:val="0"/>
                <w:szCs w:val="28"/>
                <w14:textFill>
                  <w14:solidFill>
                    <w14:schemeClr w14:val="bg1"/>
                  </w14:solidFill>
                </w14:textFill>
              </w:rPr>
            </w:pPr>
            <w:r>
              <w:rPr>
                <w:rFonts w:hint="eastAsia" w:ascii="黑体" w:hAnsi="黑体" w:eastAsia="黑体" w:cs="宋体"/>
                <w:b/>
                <w:bCs/>
                <w:color w:val="FFFFFF" w:themeColor="background1"/>
                <w:kern w:val="0"/>
                <w:szCs w:val="28"/>
                <w14:textFill>
                  <w14:solidFill>
                    <w14:schemeClr w14:val="bg1"/>
                  </w14:solidFill>
                </w14:textFill>
              </w:rPr>
              <w:t>产品</w:t>
            </w:r>
          </w:p>
        </w:tc>
        <w:tc>
          <w:tcPr>
            <w:tcW w:w="2500" w:type="pct"/>
            <w:shd w:val="clear" w:color="auto" w:fill="4472C4" w:themeFill="accent5"/>
            <w:vAlign w:val="center"/>
          </w:tcPr>
          <w:p w14:paraId="66851CBB">
            <w:pPr>
              <w:spacing w:line="440" w:lineRule="exact"/>
              <w:jc w:val="center"/>
              <w:rPr>
                <w:rFonts w:ascii="黑体" w:hAnsi="黑体" w:eastAsia="黑体" w:cs="宋体"/>
                <w:b/>
                <w:bCs/>
                <w:color w:val="FFFFFF" w:themeColor="background1"/>
                <w:kern w:val="0"/>
                <w:szCs w:val="28"/>
                <w14:textFill>
                  <w14:solidFill>
                    <w14:schemeClr w14:val="bg1"/>
                  </w14:solidFill>
                </w14:textFill>
              </w:rPr>
            </w:pPr>
            <w:r>
              <w:rPr>
                <w:rFonts w:hint="eastAsia" w:ascii="黑体" w:hAnsi="黑体" w:eastAsia="黑体" w:cs="宋体"/>
                <w:b/>
                <w:bCs/>
                <w:color w:val="FFFFFF" w:themeColor="background1"/>
                <w:kern w:val="0"/>
                <w:szCs w:val="28"/>
                <w14:textFill>
                  <w14:solidFill>
                    <w14:schemeClr w14:val="bg1"/>
                  </w14:solidFill>
                </w14:textFill>
              </w:rPr>
              <w:t>产量（台）</w:t>
            </w:r>
          </w:p>
        </w:tc>
      </w:tr>
      <w:tr w14:paraId="6B1ACC2F">
        <w:tblPrEx>
          <w:tblBorders>
            <w:top w:val="single" w:color="5B9BD5" w:themeColor="accent1" w:sz="4" w:space="0"/>
            <w:left w:val="single" w:color="5B9BD5" w:themeColor="accent1" w:sz="4" w:space="0"/>
            <w:bottom w:val="single" w:color="5B9BD5" w:themeColor="accent1" w:sz="4" w:space="0"/>
            <w:right w:val="single" w:color="5B9BD5" w:themeColor="accent1" w:sz="4" w:space="0"/>
            <w:insideH w:val="single" w:color="5B9BD5" w:themeColor="accent1" w:sz="4" w:space="0"/>
            <w:insideV w:val="single" w:color="5B9BD5" w:themeColor="accent1" w:sz="4" w:space="0"/>
          </w:tblBorders>
          <w:tblCellMar>
            <w:top w:w="0" w:type="dxa"/>
            <w:left w:w="108" w:type="dxa"/>
            <w:bottom w:w="0" w:type="dxa"/>
            <w:right w:w="108" w:type="dxa"/>
          </w:tblCellMar>
        </w:tblPrEx>
        <w:trPr>
          <w:trHeight w:val="567" w:hRule="atLeast"/>
          <w:jc w:val="center"/>
        </w:trPr>
        <w:tc>
          <w:tcPr>
            <w:tcW w:w="2500" w:type="pct"/>
            <w:tcBorders>
              <w:right w:val="nil"/>
            </w:tcBorders>
            <w:shd w:val="clear" w:color="auto" w:fill="FFFFFF" w:themeFill="background1"/>
          </w:tcPr>
          <w:p w14:paraId="1860C12C">
            <w:pPr>
              <w:spacing w:line="440" w:lineRule="exact"/>
              <w:jc w:val="center"/>
              <w:rPr>
                <w:rFonts w:ascii="仿宋_GB2312" w:hAnsi="宋体" w:cs="宋体"/>
                <w:b w:val="0"/>
                <w:bCs w:val="0"/>
                <w:color w:val="000000"/>
                <w:kern w:val="0"/>
                <w:szCs w:val="24"/>
              </w:rPr>
            </w:pPr>
            <w:r>
              <w:rPr>
                <w:rFonts w:hint="eastAsia" w:ascii="仿宋_GB2312" w:hAnsi="宋体" w:cs="宋体"/>
                <w:b w:val="0"/>
                <w:bCs w:val="0"/>
                <w:color w:val="000000"/>
                <w:kern w:val="0"/>
                <w:szCs w:val="24"/>
              </w:rPr>
              <w:t>阀类</w:t>
            </w:r>
          </w:p>
        </w:tc>
        <w:tc>
          <w:tcPr>
            <w:tcW w:w="2500" w:type="pct"/>
          </w:tcPr>
          <w:p w14:paraId="7A47479E">
            <w:pPr>
              <w:spacing w:line="440" w:lineRule="exact"/>
              <w:jc w:val="center"/>
              <w:rPr>
                <w:rFonts w:ascii="仿宋_GB2312" w:hAnsi="宋体" w:cs="宋体"/>
                <w:color w:val="000000"/>
                <w:szCs w:val="24"/>
              </w:rPr>
            </w:pPr>
            <w:r>
              <w:rPr>
                <w:rFonts w:hint="eastAsia" w:ascii="仿宋_GB2312" w:hAnsi="宋体" w:cs="宋体"/>
                <w:color w:val="000000"/>
                <w:szCs w:val="24"/>
              </w:rPr>
              <w:t>5</w:t>
            </w:r>
            <w:r>
              <w:rPr>
                <w:rFonts w:ascii="仿宋_GB2312" w:hAnsi="宋体" w:cs="宋体"/>
                <w:color w:val="000000"/>
                <w:szCs w:val="24"/>
              </w:rPr>
              <w:t>0000</w:t>
            </w:r>
          </w:p>
        </w:tc>
      </w:tr>
      <w:tr w14:paraId="52F24F0D">
        <w:tblPrEx>
          <w:tblBorders>
            <w:top w:val="single" w:color="5B9BD5" w:themeColor="accent1" w:sz="4" w:space="0"/>
            <w:left w:val="single" w:color="5B9BD5" w:themeColor="accent1" w:sz="4" w:space="0"/>
            <w:bottom w:val="single" w:color="5B9BD5" w:themeColor="accent1" w:sz="4" w:space="0"/>
            <w:right w:val="single" w:color="5B9BD5" w:themeColor="accent1" w:sz="4" w:space="0"/>
            <w:insideH w:val="single" w:color="5B9BD5" w:themeColor="accent1" w:sz="4" w:space="0"/>
            <w:insideV w:val="single" w:color="5B9BD5" w:themeColor="accent1" w:sz="4" w:space="0"/>
          </w:tblBorders>
          <w:tblCellMar>
            <w:top w:w="0" w:type="dxa"/>
            <w:left w:w="108" w:type="dxa"/>
            <w:bottom w:w="0" w:type="dxa"/>
            <w:right w:w="108" w:type="dxa"/>
          </w:tblCellMar>
        </w:tblPrEx>
        <w:trPr>
          <w:trHeight w:val="567" w:hRule="atLeast"/>
          <w:jc w:val="center"/>
        </w:trPr>
        <w:tc>
          <w:tcPr>
            <w:tcW w:w="2500" w:type="pct"/>
            <w:tcBorders>
              <w:right w:val="nil"/>
            </w:tcBorders>
            <w:shd w:val="clear" w:color="auto" w:fill="FFFFFF" w:themeFill="background1"/>
          </w:tcPr>
          <w:p w14:paraId="4212ADF9">
            <w:pPr>
              <w:spacing w:line="440" w:lineRule="exact"/>
              <w:jc w:val="center"/>
              <w:rPr>
                <w:rFonts w:ascii="仿宋_GB2312" w:hAnsi="宋体" w:cs="宋体"/>
                <w:b w:val="0"/>
                <w:bCs w:val="0"/>
                <w:color w:val="000000"/>
                <w:kern w:val="0"/>
                <w:szCs w:val="24"/>
              </w:rPr>
            </w:pPr>
            <w:r>
              <w:rPr>
                <w:rFonts w:hint="eastAsia" w:ascii="仿宋_GB2312" w:hAnsi="宋体" w:cs="宋体"/>
                <w:b w:val="0"/>
                <w:bCs w:val="0"/>
                <w:color w:val="000000"/>
                <w:kern w:val="0"/>
                <w:szCs w:val="24"/>
              </w:rPr>
              <w:t>泵类</w:t>
            </w:r>
          </w:p>
        </w:tc>
        <w:tc>
          <w:tcPr>
            <w:tcW w:w="2500" w:type="pct"/>
          </w:tcPr>
          <w:p w14:paraId="70C03555">
            <w:pPr>
              <w:spacing w:line="440" w:lineRule="exact"/>
              <w:jc w:val="center"/>
              <w:rPr>
                <w:rFonts w:ascii="仿宋_GB2312" w:hAnsi="宋体" w:cs="宋体"/>
                <w:color w:val="000000"/>
                <w:szCs w:val="24"/>
              </w:rPr>
            </w:pPr>
            <w:r>
              <w:rPr>
                <w:rFonts w:hint="eastAsia" w:ascii="仿宋_GB2312" w:hAnsi="宋体" w:cs="宋体"/>
                <w:color w:val="000000"/>
                <w:szCs w:val="24"/>
              </w:rPr>
              <w:t>4</w:t>
            </w:r>
            <w:r>
              <w:rPr>
                <w:rFonts w:ascii="仿宋_GB2312" w:hAnsi="宋体" w:cs="宋体"/>
                <w:color w:val="000000"/>
                <w:szCs w:val="24"/>
              </w:rPr>
              <w:t>0000</w:t>
            </w:r>
          </w:p>
        </w:tc>
      </w:tr>
    </w:tbl>
    <w:p w14:paraId="64BE3FCE">
      <w:pPr>
        <w:pStyle w:val="3"/>
        <w:spacing w:before="0" w:after="0" w:line="580" w:lineRule="exact"/>
        <w:ind w:firstLine="643" w:firstLineChars="200"/>
        <w:rPr>
          <w:rFonts w:ascii="黑体" w:hAnsi="黑体" w:eastAsia="黑体" w:cs="宋体"/>
          <w:color w:val="000000" w:themeColor="text1"/>
          <w:sz w:val="32"/>
          <w14:textFill>
            <w14:solidFill>
              <w14:schemeClr w14:val="tx1"/>
            </w14:solidFill>
          </w14:textFill>
        </w:rPr>
      </w:pPr>
      <w:bookmarkStart w:id="32" w:name="_Toc76718406"/>
      <w:bookmarkStart w:id="33" w:name="_Toc78208230"/>
      <w:r>
        <w:rPr>
          <w:rFonts w:ascii="黑体" w:hAnsi="黑体" w:eastAsia="黑体" w:cs="宋体"/>
          <w:color w:val="000000" w:themeColor="text1"/>
          <w:sz w:val="32"/>
          <w14:textFill>
            <w14:solidFill>
              <w14:schemeClr w14:val="tx1"/>
            </w14:solidFill>
          </w14:textFill>
        </w:rPr>
        <w:t>四、项目建设内容</w:t>
      </w:r>
      <w:bookmarkEnd w:id="32"/>
      <w:bookmarkEnd w:id="33"/>
    </w:p>
    <w:p w14:paraId="0571FE2D">
      <w:pPr>
        <w:spacing w:line="580" w:lineRule="exact"/>
        <w:ind w:firstLine="640" w:firstLineChars="200"/>
        <w:rPr>
          <w:rFonts w:ascii="仿宋_GB2312" w:hAnsi="宋体" w:cs="宋体"/>
          <w:sz w:val="32"/>
          <w:szCs w:val="32"/>
        </w:rPr>
      </w:pPr>
      <w:bookmarkStart w:id="34" w:name="_Hlk57641029"/>
      <w:r>
        <w:rPr>
          <w:rFonts w:hint="eastAsia" w:ascii="仿宋_GB2312" w:hAnsi="宋体" w:cs="宋体"/>
          <w:sz w:val="32"/>
          <w:szCs w:val="32"/>
        </w:rPr>
        <w:t>项目规划用地150亩，建筑面积为</w:t>
      </w:r>
      <w:r>
        <w:rPr>
          <w:rFonts w:ascii="仿宋_GB2312" w:hAnsi="宋体" w:cs="宋体"/>
          <w:sz w:val="32"/>
          <w:szCs w:val="32"/>
        </w:rPr>
        <w:t>11</w:t>
      </w:r>
      <w:r>
        <w:rPr>
          <w:rFonts w:hint="eastAsia" w:ascii="仿宋_GB2312" w:hAnsi="宋体" w:cs="宋体"/>
          <w:sz w:val="32"/>
          <w:szCs w:val="32"/>
        </w:rPr>
        <w:t>0000</w:t>
      </w:r>
      <w:r>
        <w:rPr>
          <w:rFonts w:ascii="仿宋_GB2312" w:hAnsi="宋体" w:cs="宋体"/>
          <w:sz w:val="32"/>
          <w:szCs w:val="32"/>
        </w:rPr>
        <w:t>m</w:t>
      </w:r>
      <w:r>
        <w:rPr>
          <w:rFonts w:ascii="仿宋_GB2312" w:hAnsi="宋体" w:cs="宋体"/>
          <w:sz w:val="32"/>
          <w:szCs w:val="32"/>
          <w:vertAlign w:val="superscript"/>
        </w:rPr>
        <w:t>2</w:t>
      </w:r>
      <w:r>
        <w:rPr>
          <w:rFonts w:hint="eastAsia" w:ascii="仿宋_GB2312" w:hAnsi="宋体" w:cs="宋体"/>
          <w:sz w:val="32"/>
          <w:szCs w:val="32"/>
        </w:rPr>
        <w:t>的绿色环保化工装备制造基地，其中包括各类阀、泵生产车间、原辅料产品仓库、办公楼、生活及其他辅助用房等。</w:t>
      </w:r>
    </w:p>
    <w:bookmarkEnd w:id="34"/>
    <w:p w14:paraId="53C9E18C">
      <w:pPr>
        <w:spacing w:line="580" w:lineRule="exact"/>
        <w:jc w:val="center"/>
        <w:rPr>
          <w:rFonts w:ascii="仿宋_GB2312" w:hAnsi="宋体" w:cs="宋体"/>
          <w:b/>
          <w:bCs/>
          <w:szCs w:val="28"/>
        </w:rPr>
      </w:pPr>
      <w:r>
        <w:rPr>
          <w:rFonts w:ascii="仿宋_GB2312" w:hAnsi="宋体" w:cs="宋体"/>
          <w:b/>
          <w:bCs/>
          <w:szCs w:val="28"/>
        </w:rPr>
        <w:t>图表 7  项目建设内容及建设规模</w:t>
      </w:r>
    </w:p>
    <w:tbl>
      <w:tblPr>
        <w:tblStyle w:val="20"/>
        <w:tblW w:w="4888" w:type="pct"/>
        <w:jc w:val="center"/>
        <w:tblBorders>
          <w:top w:val="single" w:color="5B9BD5" w:themeColor="accent1" w:sz="4" w:space="0"/>
          <w:left w:val="single" w:color="5B9BD5" w:themeColor="accent1" w:sz="4" w:space="0"/>
          <w:bottom w:val="single" w:color="5B9BD5" w:themeColor="accent1" w:sz="4" w:space="0"/>
          <w:right w:val="single" w:color="5B9BD5" w:themeColor="accent1" w:sz="4" w:space="0"/>
          <w:insideH w:val="single" w:color="5B9BD5" w:themeColor="accent1" w:sz="4" w:space="0"/>
          <w:insideV w:val="single" w:color="5B9BD5" w:themeColor="accent1" w:sz="4" w:space="0"/>
        </w:tblBorders>
        <w:tblLayout w:type="autofit"/>
        <w:tblCellMar>
          <w:top w:w="0" w:type="dxa"/>
          <w:left w:w="108" w:type="dxa"/>
          <w:bottom w:w="0" w:type="dxa"/>
          <w:right w:w="108" w:type="dxa"/>
        </w:tblCellMar>
      </w:tblPr>
      <w:tblGrid>
        <w:gridCol w:w="4428"/>
        <w:gridCol w:w="4429"/>
      </w:tblGrid>
      <w:tr w14:paraId="2B64BBCA">
        <w:tblPrEx>
          <w:tblBorders>
            <w:top w:val="single" w:color="5B9BD5" w:themeColor="accent1" w:sz="4" w:space="0"/>
            <w:left w:val="single" w:color="5B9BD5" w:themeColor="accent1" w:sz="4" w:space="0"/>
            <w:bottom w:val="single" w:color="5B9BD5" w:themeColor="accent1" w:sz="4" w:space="0"/>
            <w:right w:val="single" w:color="5B9BD5" w:themeColor="accent1" w:sz="4" w:space="0"/>
            <w:insideH w:val="single" w:color="5B9BD5" w:themeColor="accent1" w:sz="4" w:space="0"/>
            <w:insideV w:val="single" w:color="5B9BD5" w:themeColor="accent1" w:sz="4" w:space="0"/>
          </w:tblBorders>
          <w:tblCellMar>
            <w:top w:w="0" w:type="dxa"/>
            <w:left w:w="108" w:type="dxa"/>
            <w:bottom w:w="0" w:type="dxa"/>
            <w:right w:w="108" w:type="dxa"/>
          </w:tblCellMar>
        </w:tblPrEx>
        <w:trPr>
          <w:trHeight w:val="567" w:hRule="atLeast"/>
          <w:jc w:val="center"/>
        </w:trPr>
        <w:tc>
          <w:tcPr>
            <w:tcW w:w="2500" w:type="pct"/>
            <w:tcBorders>
              <w:bottom w:val="nil"/>
              <w:right w:val="nil"/>
            </w:tcBorders>
            <w:shd w:val="clear" w:color="auto" w:fill="4472C4" w:themeFill="accent5"/>
            <w:vAlign w:val="center"/>
          </w:tcPr>
          <w:p w14:paraId="40F19323">
            <w:pPr>
              <w:spacing w:line="440" w:lineRule="exact"/>
              <w:jc w:val="center"/>
              <w:rPr>
                <w:rFonts w:ascii="黑体" w:hAnsi="黑体" w:eastAsia="黑体" w:cs="宋体"/>
                <w:b/>
                <w:bCs/>
                <w:color w:val="FFFFFF" w:themeColor="background1"/>
                <w:kern w:val="0"/>
                <w:szCs w:val="28"/>
                <w14:textFill>
                  <w14:solidFill>
                    <w14:schemeClr w14:val="bg1"/>
                  </w14:solidFill>
                </w14:textFill>
              </w:rPr>
            </w:pPr>
            <w:r>
              <w:rPr>
                <w:rFonts w:ascii="黑体" w:hAnsi="黑体" w:eastAsia="黑体" w:cs="宋体"/>
                <w:b/>
                <w:bCs/>
                <w:color w:val="FFFFFF" w:themeColor="background1"/>
                <w:kern w:val="0"/>
                <w:szCs w:val="28"/>
                <w14:textFill>
                  <w14:solidFill>
                    <w14:schemeClr w14:val="bg1"/>
                  </w14:solidFill>
                </w14:textFill>
              </w:rPr>
              <w:t>建设内容</w:t>
            </w:r>
          </w:p>
        </w:tc>
        <w:tc>
          <w:tcPr>
            <w:tcW w:w="2500" w:type="pct"/>
            <w:shd w:val="clear" w:color="auto" w:fill="4472C4" w:themeFill="accent5"/>
            <w:vAlign w:val="center"/>
          </w:tcPr>
          <w:p w14:paraId="5209F991">
            <w:pPr>
              <w:spacing w:line="440" w:lineRule="exact"/>
              <w:jc w:val="center"/>
              <w:rPr>
                <w:rFonts w:ascii="黑体" w:hAnsi="黑体" w:eastAsia="黑体" w:cs="宋体"/>
                <w:b/>
                <w:bCs/>
                <w:color w:val="FFFFFF" w:themeColor="background1"/>
                <w:kern w:val="0"/>
                <w:szCs w:val="28"/>
                <w14:textFill>
                  <w14:solidFill>
                    <w14:schemeClr w14:val="bg1"/>
                  </w14:solidFill>
                </w14:textFill>
              </w:rPr>
            </w:pPr>
            <w:r>
              <w:rPr>
                <w:rFonts w:ascii="黑体" w:hAnsi="黑体" w:eastAsia="黑体" w:cs="宋体"/>
                <w:b/>
                <w:bCs/>
                <w:color w:val="FFFFFF" w:themeColor="background1"/>
                <w:kern w:val="0"/>
                <w:szCs w:val="28"/>
                <w14:textFill>
                  <w14:solidFill>
                    <w14:schemeClr w14:val="bg1"/>
                  </w14:solidFill>
                </w14:textFill>
              </w:rPr>
              <w:t>建筑面积（</w:t>
            </w:r>
            <w:r>
              <w:rPr>
                <w:rFonts w:hint="eastAsia" w:ascii="黑体" w:hAnsi="黑体" w:eastAsia="黑体" w:cs="宋体"/>
                <w:b/>
                <w:bCs/>
                <w:color w:val="FFFFFF" w:themeColor="background1"/>
                <w:kern w:val="0"/>
                <w:szCs w:val="28"/>
                <w14:textFill>
                  <w14:solidFill>
                    <w14:schemeClr w14:val="bg1"/>
                  </w14:solidFill>
                </w14:textFill>
              </w:rPr>
              <w:t>㎡</w:t>
            </w:r>
            <w:r>
              <w:rPr>
                <w:rFonts w:ascii="黑体" w:hAnsi="黑体" w:eastAsia="黑体" w:cs="宋体"/>
                <w:b/>
                <w:bCs/>
                <w:color w:val="FFFFFF" w:themeColor="background1"/>
                <w:kern w:val="0"/>
                <w:szCs w:val="28"/>
                <w14:textFill>
                  <w14:solidFill>
                    <w14:schemeClr w14:val="bg1"/>
                  </w14:solidFill>
                </w14:textFill>
              </w:rPr>
              <w:t>）</w:t>
            </w:r>
          </w:p>
        </w:tc>
      </w:tr>
      <w:tr w14:paraId="00082E83">
        <w:tblPrEx>
          <w:tblBorders>
            <w:top w:val="single" w:color="5B9BD5" w:themeColor="accent1" w:sz="4" w:space="0"/>
            <w:left w:val="single" w:color="5B9BD5" w:themeColor="accent1" w:sz="4" w:space="0"/>
            <w:bottom w:val="single" w:color="5B9BD5" w:themeColor="accent1" w:sz="4" w:space="0"/>
            <w:right w:val="single" w:color="5B9BD5" w:themeColor="accent1" w:sz="4" w:space="0"/>
            <w:insideH w:val="single" w:color="5B9BD5" w:themeColor="accent1" w:sz="4" w:space="0"/>
            <w:insideV w:val="single" w:color="5B9BD5" w:themeColor="accent1" w:sz="4" w:space="0"/>
          </w:tblBorders>
          <w:tblCellMar>
            <w:top w:w="0" w:type="dxa"/>
            <w:left w:w="108" w:type="dxa"/>
            <w:bottom w:w="0" w:type="dxa"/>
            <w:right w:w="108" w:type="dxa"/>
          </w:tblCellMar>
        </w:tblPrEx>
        <w:trPr>
          <w:trHeight w:val="567" w:hRule="atLeast"/>
          <w:jc w:val="center"/>
        </w:trPr>
        <w:tc>
          <w:tcPr>
            <w:tcW w:w="2500" w:type="pct"/>
            <w:tcBorders>
              <w:right w:val="nil"/>
            </w:tcBorders>
            <w:shd w:val="clear" w:color="auto" w:fill="FFFFFF" w:themeFill="background1"/>
            <w:vAlign w:val="center"/>
          </w:tcPr>
          <w:p w14:paraId="278D434A">
            <w:pPr>
              <w:spacing w:line="440" w:lineRule="exact"/>
              <w:jc w:val="center"/>
              <w:rPr>
                <w:rFonts w:ascii="仿宋_GB2312" w:hAnsi="宋体" w:cs="宋体"/>
                <w:b w:val="0"/>
                <w:bCs w:val="0"/>
                <w:color w:val="000000"/>
                <w:kern w:val="0"/>
                <w:szCs w:val="24"/>
              </w:rPr>
            </w:pPr>
            <w:r>
              <w:rPr>
                <w:rFonts w:hint="eastAsia" w:ascii="仿宋_GB2312" w:hAnsi="宋体" w:cs="宋体"/>
                <w:b w:val="0"/>
                <w:bCs w:val="0"/>
                <w:color w:val="000000"/>
                <w:kern w:val="0"/>
                <w:szCs w:val="24"/>
              </w:rPr>
              <w:t>各类阀</w:t>
            </w:r>
            <w:r>
              <w:rPr>
                <w:rFonts w:ascii="仿宋_GB2312" w:hAnsi="宋体" w:cs="宋体"/>
                <w:b w:val="0"/>
                <w:bCs w:val="0"/>
                <w:color w:val="000000"/>
                <w:kern w:val="0"/>
                <w:szCs w:val="24"/>
              </w:rPr>
              <w:t>生产车间</w:t>
            </w:r>
          </w:p>
        </w:tc>
        <w:tc>
          <w:tcPr>
            <w:tcW w:w="2500" w:type="pct"/>
          </w:tcPr>
          <w:p w14:paraId="3A506713">
            <w:pPr>
              <w:spacing w:line="440" w:lineRule="exact"/>
              <w:jc w:val="center"/>
              <w:rPr>
                <w:rFonts w:ascii="仿宋_GB2312" w:hAnsi="宋体" w:cs="宋体"/>
                <w:bCs/>
                <w:color w:val="000000"/>
                <w:kern w:val="0"/>
                <w:szCs w:val="24"/>
              </w:rPr>
            </w:pPr>
            <w:r>
              <w:rPr>
                <w:rFonts w:ascii="仿宋_GB2312" w:hAnsi="宋体" w:cs="宋体"/>
                <w:bCs/>
                <w:color w:val="000000"/>
                <w:kern w:val="0"/>
                <w:szCs w:val="24"/>
              </w:rPr>
              <w:t>40000</w:t>
            </w:r>
          </w:p>
        </w:tc>
      </w:tr>
      <w:tr w14:paraId="14FC0E8E">
        <w:tblPrEx>
          <w:tblBorders>
            <w:top w:val="single" w:color="5B9BD5" w:themeColor="accent1" w:sz="4" w:space="0"/>
            <w:left w:val="single" w:color="5B9BD5" w:themeColor="accent1" w:sz="4" w:space="0"/>
            <w:bottom w:val="single" w:color="5B9BD5" w:themeColor="accent1" w:sz="4" w:space="0"/>
            <w:right w:val="single" w:color="5B9BD5" w:themeColor="accent1" w:sz="4" w:space="0"/>
            <w:insideH w:val="single" w:color="5B9BD5" w:themeColor="accent1" w:sz="4" w:space="0"/>
            <w:insideV w:val="single" w:color="5B9BD5" w:themeColor="accent1" w:sz="4" w:space="0"/>
          </w:tblBorders>
          <w:tblCellMar>
            <w:top w:w="0" w:type="dxa"/>
            <w:left w:w="108" w:type="dxa"/>
            <w:bottom w:w="0" w:type="dxa"/>
            <w:right w:w="108" w:type="dxa"/>
          </w:tblCellMar>
        </w:tblPrEx>
        <w:trPr>
          <w:trHeight w:val="567" w:hRule="atLeast"/>
          <w:jc w:val="center"/>
        </w:trPr>
        <w:tc>
          <w:tcPr>
            <w:tcW w:w="2500" w:type="pct"/>
            <w:tcBorders>
              <w:right w:val="nil"/>
            </w:tcBorders>
            <w:shd w:val="clear" w:color="auto" w:fill="FFFFFF" w:themeFill="background1"/>
          </w:tcPr>
          <w:p w14:paraId="7B241C13">
            <w:pPr>
              <w:spacing w:line="440" w:lineRule="exact"/>
              <w:jc w:val="center"/>
              <w:rPr>
                <w:rFonts w:ascii="仿宋_GB2312" w:hAnsi="宋体" w:cs="宋体"/>
                <w:b w:val="0"/>
                <w:bCs w:val="0"/>
                <w:color w:val="000000"/>
                <w:kern w:val="0"/>
                <w:szCs w:val="24"/>
              </w:rPr>
            </w:pPr>
            <w:r>
              <w:rPr>
                <w:rFonts w:hint="eastAsia" w:ascii="仿宋_GB2312" w:hAnsi="宋体" w:cs="宋体"/>
                <w:b w:val="0"/>
                <w:bCs w:val="0"/>
                <w:color w:val="000000"/>
                <w:kern w:val="0"/>
                <w:szCs w:val="24"/>
              </w:rPr>
              <w:t>各类泵生产车间</w:t>
            </w:r>
          </w:p>
        </w:tc>
        <w:tc>
          <w:tcPr>
            <w:tcW w:w="2500" w:type="pct"/>
          </w:tcPr>
          <w:p w14:paraId="2DF903CE">
            <w:pPr>
              <w:spacing w:line="440" w:lineRule="exact"/>
              <w:jc w:val="center"/>
              <w:rPr>
                <w:rFonts w:ascii="仿宋_GB2312" w:hAnsi="宋体" w:cs="宋体"/>
                <w:bCs/>
                <w:color w:val="000000"/>
                <w:kern w:val="0"/>
                <w:szCs w:val="24"/>
              </w:rPr>
            </w:pPr>
            <w:r>
              <w:rPr>
                <w:rFonts w:ascii="仿宋_GB2312" w:hAnsi="宋体" w:cs="宋体"/>
                <w:bCs/>
                <w:color w:val="000000"/>
                <w:kern w:val="0"/>
                <w:szCs w:val="24"/>
              </w:rPr>
              <w:t>50000</w:t>
            </w:r>
          </w:p>
        </w:tc>
      </w:tr>
      <w:tr w14:paraId="2C12CFC4">
        <w:tblPrEx>
          <w:tblBorders>
            <w:top w:val="single" w:color="5B9BD5" w:themeColor="accent1" w:sz="4" w:space="0"/>
            <w:left w:val="single" w:color="5B9BD5" w:themeColor="accent1" w:sz="4" w:space="0"/>
            <w:bottom w:val="single" w:color="5B9BD5" w:themeColor="accent1" w:sz="4" w:space="0"/>
            <w:right w:val="single" w:color="5B9BD5" w:themeColor="accent1" w:sz="4" w:space="0"/>
            <w:insideH w:val="single" w:color="5B9BD5" w:themeColor="accent1" w:sz="4" w:space="0"/>
            <w:insideV w:val="single" w:color="5B9BD5" w:themeColor="accent1" w:sz="4" w:space="0"/>
          </w:tblBorders>
          <w:tblCellMar>
            <w:top w:w="0" w:type="dxa"/>
            <w:left w:w="108" w:type="dxa"/>
            <w:bottom w:w="0" w:type="dxa"/>
            <w:right w:w="108" w:type="dxa"/>
          </w:tblCellMar>
        </w:tblPrEx>
        <w:trPr>
          <w:trHeight w:val="567" w:hRule="atLeast"/>
          <w:jc w:val="center"/>
        </w:trPr>
        <w:tc>
          <w:tcPr>
            <w:tcW w:w="2500" w:type="pct"/>
            <w:tcBorders>
              <w:right w:val="nil"/>
            </w:tcBorders>
            <w:shd w:val="clear" w:color="auto" w:fill="FFFFFF" w:themeFill="background1"/>
          </w:tcPr>
          <w:p w14:paraId="6CEE41A9">
            <w:pPr>
              <w:spacing w:line="440" w:lineRule="exact"/>
              <w:jc w:val="center"/>
              <w:rPr>
                <w:rFonts w:ascii="仿宋_GB2312" w:hAnsi="宋体" w:cs="宋体"/>
                <w:b w:val="0"/>
                <w:bCs w:val="0"/>
                <w:color w:val="000000"/>
                <w:kern w:val="0"/>
                <w:szCs w:val="24"/>
              </w:rPr>
            </w:pPr>
            <w:r>
              <w:rPr>
                <w:rFonts w:hint="eastAsia" w:ascii="仿宋_GB2312" w:hAnsi="宋体" w:cs="宋体"/>
                <w:b w:val="0"/>
                <w:bCs w:val="0"/>
                <w:color w:val="000000"/>
                <w:kern w:val="0"/>
                <w:szCs w:val="24"/>
              </w:rPr>
              <w:t>原辅料产品仓库</w:t>
            </w:r>
          </w:p>
        </w:tc>
        <w:tc>
          <w:tcPr>
            <w:tcW w:w="2500" w:type="pct"/>
          </w:tcPr>
          <w:p w14:paraId="3AAC3BE3">
            <w:pPr>
              <w:spacing w:line="440" w:lineRule="exact"/>
              <w:jc w:val="center"/>
              <w:rPr>
                <w:rFonts w:ascii="仿宋_GB2312" w:hAnsi="宋体" w:cs="宋体"/>
                <w:bCs/>
                <w:color w:val="000000"/>
                <w:kern w:val="0"/>
                <w:szCs w:val="24"/>
              </w:rPr>
            </w:pPr>
            <w:r>
              <w:rPr>
                <w:rFonts w:ascii="仿宋_GB2312" w:hAnsi="宋体" w:cs="宋体"/>
                <w:bCs/>
                <w:color w:val="000000"/>
                <w:kern w:val="0"/>
                <w:szCs w:val="24"/>
              </w:rPr>
              <w:t>10000</w:t>
            </w:r>
          </w:p>
        </w:tc>
      </w:tr>
      <w:tr w14:paraId="33B272BB">
        <w:tblPrEx>
          <w:tblBorders>
            <w:top w:val="single" w:color="5B9BD5" w:themeColor="accent1" w:sz="4" w:space="0"/>
            <w:left w:val="single" w:color="5B9BD5" w:themeColor="accent1" w:sz="4" w:space="0"/>
            <w:bottom w:val="single" w:color="5B9BD5" w:themeColor="accent1" w:sz="4" w:space="0"/>
            <w:right w:val="single" w:color="5B9BD5" w:themeColor="accent1" w:sz="4" w:space="0"/>
            <w:insideH w:val="single" w:color="5B9BD5" w:themeColor="accent1" w:sz="4" w:space="0"/>
            <w:insideV w:val="single" w:color="5B9BD5" w:themeColor="accent1" w:sz="4" w:space="0"/>
          </w:tblBorders>
          <w:tblCellMar>
            <w:top w:w="0" w:type="dxa"/>
            <w:left w:w="108" w:type="dxa"/>
            <w:bottom w:w="0" w:type="dxa"/>
            <w:right w:w="108" w:type="dxa"/>
          </w:tblCellMar>
        </w:tblPrEx>
        <w:trPr>
          <w:trHeight w:val="567" w:hRule="atLeast"/>
          <w:jc w:val="center"/>
        </w:trPr>
        <w:tc>
          <w:tcPr>
            <w:tcW w:w="2500" w:type="pct"/>
            <w:tcBorders>
              <w:right w:val="nil"/>
            </w:tcBorders>
            <w:shd w:val="clear" w:color="auto" w:fill="FFFFFF" w:themeFill="background1"/>
          </w:tcPr>
          <w:p w14:paraId="1CFF8820">
            <w:pPr>
              <w:spacing w:line="440" w:lineRule="exact"/>
              <w:jc w:val="center"/>
              <w:rPr>
                <w:rFonts w:ascii="仿宋_GB2312" w:hAnsi="宋体" w:cs="宋体"/>
                <w:b w:val="0"/>
                <w:bCs w:val="0"/>
                <w:color w:val="000000"/>
                <w:kern w:val="0"/>
                <w:szCs w:val="24"/>
              </w:rPr>
            </w:pPr>
            <w:r>
              <w:rPr>
                <w:rFonts w:ascii="仿宋_GB2312" w:hAnsi="宋体" w:cs="宋体"/>
                <w:b w:val="0"/>
                <w:bCs w:val="0"/>
                <w:color w:val="000000"/>
                <w:kern w:val="0"/>
                <w:szCs w:val="24"/>
              </w:rPr>
              <w:t>办公楼</w:t>
            </w:r>
          </w:p>
        </w:tc>
        <w:tc>
          <w:tcPr>
            <w:tcW w:w="2500" w:type="pct"/>
          </w:tcPr>
          <w:p w14:paraId="24E5DA60">
            <w:pPr>
              <w:spacing w:line="440" w:lineRule="exact"/>
              <w:jc w:val="center"/>
              <w:rPr>
                <w:rFonts w:ascii="仿宋_GB2312" w:hAnsi="宋体" w:cs="宋体"/>
                <w:bCs/>
                <w:color w:val="000000"/>
                <w:kern w:val="0"/>
                <w:szCs w:val="24"/>
              </w:rPr>
            </w:pPr>
            <w:r>
              <w:rPr>
                <w:rFonts w:ascii="仿宋_GB2312" w:hAnsi="宋体" w:cs="宋体"/>
                <w:bCs/>
                <w:color w:val="000000"/>
                <w:kern w:val="0"/>
                <w:szCs w:val="24"/>
              </w:rPr>
              <w:t>4000</w:t>
            </w:r>
          </w:p>
        </w:tc>
      </w:tr>
      <w:tr w14:paraId="287121FF">
        <w:tblPrEx>
          <w:tblBorders>
            <w:top w:val="single" w:color="5B9BD5" w:themeColor="accent1" w:sz="4" w:space="0"/>
            <w:left w:val="single" w:color="5B9BD5" w:themeColor="accent1" w:sz="4" w:space="0"/>
            <w:bottom w:val="single" w:color="5B9BD5" w:themeColor="accent1" w:sz="4" w:space="0"/>
            <w:right w:val="single" w:color="5B9BD5" w:themeColor="accent1" w:sz="4" w:space="0"/>
            <w:insideH w:val="single" w:color="5B9BD5" w:themeColor="accent1" w:sz="4" w:space="0"/>
            <w:insideV w:val="single" w:color="5B9BD5" w:themeColor="accent1" w:sz="4" w:space="0"/>
          </w:tblBorders>
          <w:tblCellMar>
            <w:top w:w="0" w:type="dxa"/>
            <w:left w:w="108" w:type="dxa"/>
            <w:bottom w:w="0" w:type="dxa"/>
            <w:right w:w="108" w:type="dxa"/>
          </w:tblCellMar>
        </w:tblPrEx>
        <w:trPr>
          <w:trHeight w:val="567" w:hRule="atLeast"/>
          <w:jc w:val="center"/>
        </w:trPr>
        <w:tc>
          <w:tcPr>
            <w:tcW w:w="2500" w:type="pct"/>
            <w:tcBorders>
              <w:right w:val="nil"/>
            </w:tcBorders>
            <w:shd w:val="clear" w:color="auto" w:fill="FFFFFF" w:themeFill="background1"/>
          </w:tcPr>
          <w:p w14:paraId="4C82083B">
            <w:pPr>
              <w:spacing w:line="440" w:lineRule="exact"/>
              <w:jc w:val="center"/>
              <w:rPr>
                <w:rFonts w:ascii="仿宋_GB2312" w:hAnsi="宋体" w:cs="宋体"/>
                <w:b w:val="0"/>
                <w:bCs w:val="0"/>
                <w:color w:val="000000"/>
                <w:kern w:val="0"/>
                <w:szCs w:val="24"/>
              </w:rPr>
            </w:pPr>
            <w:r>
              <w:rPr>
                <w:rFonts w:hint="eastAsia" w:ascii="仿宋_GB2312" w:hAnsi="宋体" w:cs="宋体"/>
                <w:b w:val="0"/>
                <w:bCs w:val="0"/>
                <w:color w:val="000000"/>
                <w:kern w:val="0"/>
                <w:szCs w:val="24"/>
              </w:rPr>
              <w:t>生活及</w:t>
            </w:r>
            <w:r>
              <w:rPr>
                <w:rFonts w:ascii="仿宋_GB2312" w:hAnsi="宋体" w:cs="宋体"/>
                <w:b w:val="0"/>
                <w:bCs w:val="0"/>
                <w:color w:val="000000"/>
                <w:kern w:val="0"/>
                <w:szCs w:val="24"/>
              </w:rPr>
              <w:t>其他辅助用房</w:t>
            </w:r>
          </w:p>
        </w:tc>
        <w:tc>
          <w:tcPr>
            <w:tcW w:w="2500" w:type="pct"/>
          </w:tcPr>
          <w:p w14:paraId="50B7FF9C">
            <w:pPr>
              <w:spacing w:line="440" w:lineRule="exact"/>
              <w:jc w:val="center"/>
              <w:rPr>
                <w:rFonts w:ascii="仿宋_GB2312" w:hAnsi="宋体" w:cs="宋体"/>
                <w:bCs/>
                <w:color w:val="000000"/>
                <w:kern w:val="0"/>
                <w:szCs w:val="24"/>
              </w:rPr>
            </w:pPr>
            <w:r>
              <w:rPr>
                <w:rFonts w:ascii="仿宋_GB2312" w:hAnsi="宋体" w:cs="宋体"/>
                <w:bCs/>
                <w:color w:val="000000"/>
                <w:kern w:val="0"/>
                <w:szCs w:val="24"/>
              </w:rPr>
              <w:t>6</w:t>
            </w:r>
            <w:r>
              <w:rPr>
                <w:rFonts w:hint="eastAsia" w:ascii="仿宋_GB2312" w:hAnsi="宋体" w:cs="宋体"/>
                <w:bCs/>
                <w:color w:val="000000"/>
                <w:kern w:val="0"/>
                <w:szCs w:val="24"/>
              </w:rPr>
              <w:t>000</w:t>
            </w:r>
          </w:p>
        </w:tc>
      </w:tr>
      <w:tr w14:paraId="13DB52CC">
        <w:tblPrEx>
          <w:tblBorders>
            <w:top w:val="single" w:color="5B9BD5" w:themeColor="accent1" w:sz="4" w:space="0"/>
            <w:left w:val="single" w:color="5B9BD5" w:themeColor="accent1" w:sz="4" w:space="0"/>
            <w:bottom w:val="single" w:color="5B9BD5" w:themeColor="accent1" w:sz="4" w:space="0"/>
            <w:right w:val="single" w:color="5B9BD5" w:themeColor="accent1" w:sz="4" w:space="0"/>
            <w:insideH w:val="single" w:color="5B9BD5" w:themeColor="accent1" w:sz="4" w:space="0"/>
            <w:insideV w:val="single" w:color="5B9BD5" w:themeColor="accent1" w:sz="4" w:space="0"/>
          </w:tblBorders>
          <w:tblCellMar>
            <w:top w:w="0" w:type="dxa"/>
            <w:left w:w="108" w:type="dxa"/>
            <w:bottom w:w="0" w:type="dxa"/>
            <w:right w:w="108" w:type="dxa"/>
          </w:tblCellMar>
        </w:tblPrEx>
        <w:trPr>
          <w:trHeight w:val="567" w:hRule="atLeast"/>
          <w:jc w:val="center"/>
        </w:trPr>
        <w:tc>
          <w:tcPr>
            <w:tcW w:w="2500" w:type="pct"/>
            <w:tcBorders>
              <w:right w:val="nil"/>
            </w:tcBorders>
            <w:shd w:val="clear" w:color="auto" w:fill="FFFFFF" w:themeFill="background1"/>
            <w:vAlign w:val="center"/>
          </w:tcPr>
          <w:p w14:paraId="573605E1">
            <w:pPr>
              <w:spacing w:line="440" w:lineRule="exact"/>
              <w:jc w:val="center"/>
              <w:rPr>
                <w:rFonts w:ascii="仿宋_GB2312" w:hAnsi="宋体" w:cs="宋体"/>
                <w:b/>
                <w:bCs/>
                <w:color w:val="000000"/>
                <w:kern w:val="0"/>
                <w:szCs w:val="24"/>
              </w:rPr>
            </w:pPr>
            <w:r>
              <w:rPr>
                <w:rFonts w:ascii="仿宋_GB2312" w:hAnsi="宋体" w:cs="宋体"/>
                <w:b/>
                <w:bCs/>
                <w:color w:val="000000"/>
                <w:kern w:val="0"/>
                <w:szCs w:val="24"/>
              </w:rPr>
              <w:t>总计</w:t>
            </w:r>
          </w:p>
        </w:tc>
        <w:tc>
          <w:tcPr>
            <w:tcW w:w="2500" w:type="pct"/>
          </w:tcPr>
          <w:p w14:paraId="4C57D1B8">
            <w:pPr>
              <w:spacing w:line="440" w:lineRule="exact"/>
              <w:jc w:val="center"/>
              <w:rPr>
                <w:rFonts w:ascii="仿宋_GB2312" w:hAnsi="宋体" w:cs="宋体"/>
                <w:b/>
                <w:bCs/>
                <w:color w:val="000000"/>
                <w:kern w:val="0"/>
                <w:szCs w:val="24"/>
              </w:rPr>
            </w:pPr>
            <w:r>
              <w:rPr>
                <w:rFonts w:ascii="仿宋_GB2312" w:hAnsi="宋体" w:cs="宋体"/>
                <w:b/>
                <w:bCs/>
                <w:color w:val="000000"/>
                <w:kern w:val="0"/>
                <w:szCs w:val="24"/>
              </w:rPr>
              <w:t>110000</w:t>
            </w:r>
          </w:p>
        </w:tc>
      </w:tr>
    </w:tbl>
    <w:p w14:paraId="6AC05F08">
      <w:pPr>
        <w:pStyle w:val="2"/>
        <w:spacing w:before="0" w:after="0" w:line="580" w:lineRule="exact"/>
        <w:jc w:val="center"/>
        <w:rPr>
          <w:rFonts w:ascii="方正小标宋简体" w:hAnsi="宋体" w:eastAsia="方正小标宋简体" w:cs="宋体"/>
          <w:color w:val="000000" w:themeColor="text1"/>
          <w:sz w:val="44"/>
          <w14:textFill>
            <w14:solidFill>
              <w14:schemeClr w14:val="tx1"/>
            </w14:solidFill>
          </w14:textFill>
        </w:rPr>
      </w:pPr>
      <w:r>
        <w:rPr>
          <w:rFonts w:ascii="方正小标宋简体" w:hAnsi="宋体" w:eastAsia="方正小标宋简体" w:cs="宋体"/>
          <w:color w:val="000000" w:themeColor="text1"/>
          <w:sz w:val="44"/>
          <w14:textFill>
            <w14:solidFill>
              <w14:schemeClr w14:val="tx1"/>
            </w14:solidFill>
          </w14:textFill>
        </w:rPr>
        <w:br w:type="page"/>
      </w:r>
    </w:p>
    <w:p w14:paraId="5914FAD2">
      <w:pPr>
        <w:pStyle w:val="2"/>
        <w:spacing w:before="0" w:after="0" w:line="580" w:lineRule="exact"/>
        <w:jc w:val="center"/>
        <w:rPr>
          <w:rFonts w:ascii="方正小标宋简体" w:hAnsi="宋体" w:eastAsia="方正小标宋简体" w:cs="宋体"/>
          <w:color w:val="000000" w:themeColor="text1"/>
          <w:sz w:val="44"/>
          <w14:textFill>
            <w14:solidFill>
              <w14:schemeClr w14:val="tx1"/>
            </w14:solidFill>
          </w14:textFill>
        </w:rPr>
      </w:pPr>
      <w:bookmarkStart w:id="35" w:name="_Toc76718407"/>
      <w:bookmarkStart w:id="36" w:name="_Toc78208231"/>
      <w:r>
        <w:rPr>
          <w:rFonts w:ascii="方正小标宋简体" w:hAnsi="宋体" w:eastAsia="方正小标宋简体" w:cs="宋体"/>
          <w:color w:val="000000" w:themeColor="text1"/>
          <w:sz w:val="44"/>
          <w14:textFill>
            <w14:solidFill>
              <w14:schemeClr w14:val="tx1"/>
            </w14:solidFill>
          </w14:textFill>
        </w:rPr>
        <w:t>第四章</w:t>
      </w:r>
      <w:r>
        <w:rPr>
          <w:rFonts w:hint="eastAsia" w:ascii="方正小标宋简体" w:hAnsi="宋体" w:eastAsia="方正小标宋简体" w:cs="宋体"/>
          <w:color w:val="000000" w:themeColor="text1"/>
          <w:sz w:val="44"/>
          <w14:textFill>
            <w14:solidFill>
              <w14:schemeClr w14:val="tx1"/>
            </w14:solidFill>
          </w14:textFill>
        </w:rPr>
        <w:t xml:space="preserve"> </w:t>
      </w:r>
      <w:r>
        <w:rPr>
          <w:rFonts w:ascii="方正小标宋简体" w:hAnsi="宋体" w:eastAsia="方正小标宋简体" w:cs="宋体"/>
          <w:color w:val="000000" w:themeColor="text1"/>
          <w:sz w:val="44"/>
          <w14:textFill>
            <w14:solidFill>
              <w14:schemeClr w14:val="tx1"/>
            </w14:solidFill>
          </w14:textFill>
        </w:rPr>
        <w:t>项目市场分析</w:t>
      </w:r>
      <w:bookmarkEnd w:id="35"/>
      <w:bookmarkEnd w:id="36"/>
    </w:p>
    <w:p w14:paraId="006C85CA">
      <w:pPr>
        <w:spacing w:line="580" w:lineRule="exact"/>
        <w:rPr>
          <w:rFonts w:ascii="方正小标宋简体" w:eastAsia="方正小标宋简体"/>
          <w:sz w:val="44"/>
          <w:szCs w:val="44"/>
        </w:rPr>
      </w:pPr>
      <w:r>
        <w:rPr>
          <w:rFonts w:hint="eastAsia" w:ascii="方正小标宋简体" w:eastAsia="方正小标宋简体"/>
          <w:sz w:val="44"/>
          <w:szCs w:val="44"/>
        </w:rPr>
        <w:t xml:space="preserve"> </w:t>
      </w:r>
    </w:p>
    <w:p w14:paraId="354F48D2">
      <w:pPr>
        <w:pStyle w:val="3"/>
        <w:spacing w:before="0" w:after="0" w:line="580" w:lineRule="exact"/>
        <w:ind w:firstLine="643" w:firstLineChars="200"/>
        <w:rPr>
          <w:rFonts w:ascii="黑体" w:hAnsi="黑体" w:eastAsia="黑体" w:cs="宋体"/>
          <w:color w:val="000000" w:themeColor="text1"/>
          <w:sz w:val="32"/>
          <w14:textFill>
            <w14:solidFill>
              <w14:schemeClr w14:val="tx1"/>
            </w14:solidFill>
          </w14:textFill>
        </w:rPr>
      </w:pPr>
      <w:bookmarkStart w:id="37" w:name="_Toc76718408"/>
      <w:bookmarkStart w:id="38" w:name="_Toc78208232"/>
      <w:r>
        <w:rPr>
          <w:rFonts w:ascii="黑体" w:hAnsi="黑体" w:eastAsia="黑体" w:cs="宋体"/>
          <w:color w:val="000000" w:themeColor="text1"/>
          <w:sz w:val="32"/>
          <w14:textFill>
            <w14:solidFill>
              <w14:schemeClr w14:val="tx1"/>
            </w14:solidFill>
          </w14:textFill>
        </w:rPr>
        <w:t>一、市场现状</w:t>
      </w:r>
      <w:bookmarkEnd w:id="37"/>
      <w:bookmarkEnd w:id="38"/>
    </w:p>
    <w:p w14:paraId="747BE9A6">
      <w:pPr>
        <w:keepNext/>
        <w:keepLines/>
        <w:spacing w:line="580" w:lineRule="exact"/>
        <w:ind w:firstLine="643" w:firstLineChars="200"/>
        <w:outlineLvl w:val="1"/>
        <w:rPr>
          <w:rFonts w:ascii="楷体" w:hAnsi="楷体" w:eastAsia="楷体" w:cs="宋体"/>
          <w:b/>
          <w:bCs/>
          <w:color w:val="000000"/>
          <w:sz w:val="32"/>
          <w:szCs w:val="32"/>
        </w:rPr>
      </w:pPr>
      <w:bookmarkStart w:id="39" w:name="_Toc78208233"/>
      <w:r>
        <w:rPr>
          <w:rFonts w:hint="eastAsia" w:ascii="楷体" w:hAnsi="楷体" w:eastAsia="楷体" w:cs="宋体"/>
          <w:b/>
          <w:bCs/>
          <w:color w:val="000000"/>
          <w:sz w:val="32"/>
          <w:szCs w:val="32"/>
        </w:rPr>
        <w:t>（一）全国泵业市场现状</w:t>
      </w:r>
      <w:bookmarkEnd w:id="39"/>
    </w:p>
    <w:p w14:paraId="73CFFAC8">
      <w:pPr>
        <w:spacing w:line="580" w:lineRule="exact"/>
        <w:ind w:firstLine="643" w:firstLineChars="200"/>
        <w:rPr>
          <w:rFonts w:ascii="仿宋_GB2312"/>
          <w:sz w:val="32"/>
          <w:szCs w:val="24"/>
        </w:rPr>
      </w:pPr>
      <w:r>
        <w:rPr>
          <w:rFonts w:hint="eastAsia"/>
          <w:b/>
          <w:bCs/>
          <w:sz w:val="32"/>
          <w:szCs w:val="24"/>
        </w:rPr>
        <w:t>泵是国民经济中应用最广泛的通用机械之一。</w:t>
      </w:r>
      <w:r>
        <w:rPr>
          <w:rFonts w:hint="eastAsia"/>
          <w:sz w:val="32"/>
          <w:szCs w:val="24"/>
        </w:rPr>
        <w:t>泵被喻为“现代工业的心脏”，是将原动机的机械能转换成流体介质的动能，以实现流体介质输送或使其增压的机械装置。在农业、化工、矿业、冶金、电力、国防军工、城市市政等行业都有应用，是国民经济中应用最广泛的通用机械之一</w:t>
      </w:r>
      <w:r>
        <w:rPr>
          <w:rFonts w:hint="eastAsia" w:ascii="仿宋_GB2312"/>
          <w:sz w:val="32"/>
          <w:szCs w:val="24"/>
        </w:rPr>
        <w:t>。根据《2020年中国通用机械泵行业年鉴》显示，2019年我国泵行业稳中有升，规模以上工业企业实现主营业务收入1686.68亿元，同比增长6.21%。</w:t>
      </w:r>
    </w:p>
    <w:p w14:paraId="20845AC6">
      <w:pPr>
        <w:spacing w:line="580" w:lineRule="exact"/>
        <w:ind w:firstLine="643" w:firstLineChars="200"/>
        <w:rPr>
          <w:rFonts w:ascii="仿宋_GB2312"/>
          <w:sz w:val="32"/>
          <w:szCs w:val="24"/>
        </w:rPr>
      </w:pPr>
      <w:r>
        <w:rPr>
          <w:rFonts w:hint="eastAsia" w:ascii="仿宋_GB2312"/>
          <w:b/>
          <w:bCs/>
          <w:sz w:val="32"/>
          <w:szCs w:val="24"/>
        </w:rPr>
        <w:t>“十三五”时期以来，得益于国民经济发展的良好形势，泵行业保持了平稳增长的运行态势。</w:t>
      </w:r>
      <w:r>
        <w:rPr>
          <w:rFonts w:hint="eastAsia" w:ascii="仿宋_GB2312"/>
          <w:sz w:val="32"/>
          <w:szCs w:val="24"/>
        </w:rPr>
        <w:t>据国家统计局数据显示，2019年中国泵产量为1.78亿台，较2018年增加了0.63亿台。2020年中国泵产量为1</w:t>
      </w:r>
      <w:r>
        <w:rPr>
          <w:rFonts w:ascii="仿宋_GB2312"/>
          <w:sz w:val="32"/>
          <w:szCs w:val="24"/>
        </w:rPr>
        <w:t>.</w:t>
      </w:r>
      <w:r>
        <w:rPr>
          <w:rFonts w:hint="eastAsia" w:ascii="仿宋_GB2312"/>
          <w:sz w:val="32"/>
          <w:szCs w:val="24"/>
        </w:rPr>
        <w:t>8</w:t>
      </w:r>
      <w:r>
        <w:rPr>
          <w:rFonts w:ascii="仿宋_GB2312"/>
          <w:sz w:val="32"/>
          <w:szCs w:val="24"/>
        </w:rPr>
        <w:t>3</w:t>
      </w:r>
      <w:r>
        <w:rPr>
          <w:rFonts w:hint="eastAsia" w:ascii="仿宋_GB2312"/>
          <w:sz w:val="32"/>
          <w:szCs w:val="24"/>
        </w:rPr>
        <w:t>亿台，同比增长0</w:t>
      </w:r>
      <w:r>
        <w:rPr>
          <w:rFonts w:ascii="仿宋_GB2312"/>
          <w:sz w:val="32"/>
          <w:szCs w:val="24"/>
        </w:rPr>
        <w:t>.05</w:t>
      </w:r>
      <w:r>
        <w:rPr>
          <w:rFonts w:hint="eastAsia" w:ascii="仿宋_GB2312"/>
          <w:sz w:val="32"/>
          <w:szCs w:val="24"/>
        </w:rPr>
        <w:t>亿台。</w:t>
      </w:r>
    </w:p>
    <w:p w14:paraId="121D1758">
      <w:pPr>
        <w:spacing w:line="580" w:lineRule="exact"/>
        <w:jc w:val="center"/>
        <w:rPr>
          <w:rFonts w:ascii="仿宋_GB2312"/>
          <w:b/>
          <w:bCs/>
          <w:szCs w:val="28"/>
        </w:rPr>
      </w:pPr>
    </w:p>
    <w:p w14:paraId="2923A6B8">
      <w:pPr>
        <w:spacing w:line="580" w:lineRule="exact"/>
        <w:jc w:val="center"/>
        <w:rPr>
          <w:rFonts w:ascii="仿宋_GB2312"/>
          <w:b/>
          <w:bCs/>
          <w:szCs w:val="28"/>
        </w:rPr>
      </w:pPr>
    </w:p>
    <w:p w14:paraId="120DEC01">
      <w:pPr>
        <w:spacing w:line="580" w:lineRule="exact"/>
        <w:jc w:val="center"/>
        <w:rPr>
          <w:rFonts w:ascii="仿宋_GB2312"/>
          <w:b/>
          <w:bCs/>
          <w:szCs w:val="28"/>
        </w:rPr>
      </w:pPr>
    </w:p>
    <w:p w14:paraId="251AF5C0">
      <w:pPr>
        <w:spacing w:line="580" w:lineRule="exact"/>
        <w:jc w:val="center"/>
        <w:rPr>
          <w:rFonts w:ascii="仿宋_GB2312"/>
          <w:b/>
          <w:bCs/>
          <w:szCs w:val="28"/>
        </w:rPr>
      </w:pPr>
    </w:p>
    <w:p w14:paraId="46C64386">
      <w:pPr>
        <w:spacing w:line="580" w:lineRule="exact"/>
        <w:jc w:val="center"/>
        <w:rPr>
          <w:rFonts w:ascii="仿宋_GB2312"/>
          <w:b/>
          <w:bCs/>
          <w:szCs w:val="28"/>
        </w:rPr>
      </w:pPr>
    </w:p>
    <w:p w14:paraId="0ADC6DD5">
      <w:pPr>
        <w:spacing w:line="580" w:lineRule="exact"/>
        <w:jc w:val="center"/>
        <w:rPr>
          <w:rFonts w:ascii="仿宋_GB2312"/>
          <w:b/>
          <w:bCs/>
          <w:szCs w:val="28"/>
        </w:rPr>
      </w:pPr>
    </w:p>
    <w:p w14:paraId="3969AF2F">
      <w:pPr>
        <w:spacing w:line="580" w:lineRule="exact"/>
        <w:jc w:val="center"/>
        <w:rPr>
          <w:rFonts w:ascii="仿宋_GB2312"/>
          <w:b/>
          <w:bCs/>
          <w:szCs w:val="28"/>
        </w:rPr>
      </w:pPr>
      <w:r>
        <w:rPr>
          <w:rFonts w:hint="eastAsia" w:ascii="仿宋_GB2312"/>
          <w:b/>
          <w:bCs/>
          <w:szCs w:val="28"/>
        </w:rPr>
        <w:t xml:space="preserve">图表 </w:t>
      </w:r>
      <w:r>
        <w:rPr>
          <w:rFonts w:ascii="仿宋_GB2312"/>
          <w:b/>
          <w:bCs/>
          <w:szCs w:val="28"/>
        </w:rPr>
        <w:t>8  2015-2020</w:t>
      </w:r>
      <w:r>
        <w:rPr>
          <w:rFonts w:hint="eastAsia" w:ascii="仿宋_GB2312"/>
          <w:b/>
          <w:bCs/>
          <w:szCs w:val="28"/>
        </w:rPr>
        <w:t>年中国泵产量情况统计</w:t>
      </w:r>
    </w:p>
    <w:p w14:paraId="0DF8B674">
      <w:pPr>
        <w:spacing w:line="276" w:lineRule="auto"/>
        <w:jc w:val="center"/>
        <w:rPr>
          <w:rFonts w:ascii="仿宋_GB2312"/>
          <w:sz w:val="32"/>
          <w:szCs w:val="24"/>
        </w:rPr>
      </w:pPr>
      <w:r>
        <w:drawing>
          <wp:inline distT="0" distB="0" distL="0" distR="0">
            <wp:extent cx="5582285" cy="3514090"/>
            <wp:effectExtent l="0" t="0" r="18415" b="10160"/>
            <wp:docPr id="14"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708B2DE">
      <w:pPr>
        <w:spacing w:line="580" w:lineRule="exact"/>
        <w:ind w:firstLine="560" w:firstLineChars="200"/>
        <w:rPr>
          <w:rFonts w:ascii="仿宋_GB2312"/>
        </w:rPr>
      </w:pPr>
      <w:r>
        <w:rPr>
          <w:rFonts w:hint="eastAsia" w:ascii="仿宋_GB2312"/>
        </w:rPr>
        <w:t>数据来源：国家统计局、中商产业研究院整理</w:t>
      </w:r>
    </w:p>
    <w:p w14:paraId="36EAF67C">
      <w:pPr>
        <w:spacing w:line="580" w:lineRule="exact"/>
        <w:ind w:firstLine="643" w:firstLineChars="200"/>
        <w:rPr>
          <w:rFonts w:ascii="仿宋_GB2312"/>
          <w:sz w:val="32"/>
          <w:szCs w:val="32"/>
        </w:rPr>
      </w:pPr>
      <w:r>
        <w:rPr>
          <w:rFonts w:hint="eastAsia" w:ascii="仿宋_GB2312"/>
          <w:b/>
          <w:bCs/>
          <w:sz w:val="32"/>
          <w:szCs w:val="32"/>
        </w:rPr>
        <w:t>近年来我国泵行业相关企业在开发、制造、测试等技术方面有大幅提升。</w:t>
      </w:r>
      <w:r>
        <w:rPr>
          <w:rFonts w:hint="eastAsia" w:ascii="仿宋_GB2312"/>
          <w:sz w:val="32"/>
          <w:szCs w:val="32"/>
        </w:rPr>
        <w:t>国家对节能和环保高度重视，是推动我国泵行业技术水平提高的主要动力，近年来我国泵行业相关企业在开发技术、制造技术、测试技术等方面的能力有了大幅度的提升，2018年中国液体变容机械、泵专利申请受理量达3</w:t>
      </w:r>
      <w:r>
        <w:rPr>
          <w:rFonts w:ascii="仿宋_GB2312"/>
          <w:sz w:val="32"/>
          <w:szCs w:val="32"/>
        </w:rPr>
        <w:t>.</w:t>
      </w:r>
      <w:r>
        <w:rPr>
          <w:rFonts w:hint="eastAsia" w:ascii="仿宋_GB2312"/>
          <w:sz w:val="32"/>
          <w:szCs w:val="32"/>
        </w:rPr>
        <w:t>26万项，同比2017年增加了1</w:t>
      </w:r>
      <w:r>
        <w:rPr>
          <w:rFonts w:ascii="仿宋_GB2312"/>
          <w:sz w:val="32"/>
          <w:szCs w:val="32"/>
        </w:rPr>
        <w:t>.</w:t>
      </w:r>
      <w:r>
        <w:rPr>
          <w:rFonts w:hint="eastAsia" w:ascii="仿宋_GB2312"/>
          <w:sz w:val="32"/>
          <w:szCs w:val="32"/>
        </w:rPr>
        <w:t>1</w:t>
      </w:r>
      <w:r>
        <w:rPr>
          <w:rFonts w:ascii="仿宋_GB2312"/>
          <w:sz w:val="32"/>
          <w:szCs w:val="32"/>
        </w:rPr>
        <w:t>4</w:t>
      </w:r>
      <w:r>
        <w:rPr>
          <w:rFonts w:hint="eastAsia" w:ascii="仿宋_GB2312"/>
          <w:sz w:val="32"/>
          <w:szCs w:val="32"/>
        </w:rPr>
        <w:t>万项。2</w:t>
      </w:r>
      <w:r>
        <w:rPr>
          <w:rFonts w:ascii="仿宋_GB2312"/>
          <w:sz w:val="32"/>
          <w:szCs w:val="32"/>
        </w:rPr>
        <w:t>019</w:t>
      </w:r>
      <w:r>
        <w:rPr>
          <w:rFonts w:hint="eastAsia" w:ascii="仿宋_GB2312"/>
          <w:sz w:val="32"/>
          <w:szCs w:val="32"/>
        </w:rPr>
        <w:t>年有所下滑，中国液体变容机械、泵专利申请受理量达3</w:t>
      </w:r>
      <w:r>
        <w:rPr>
          <w:rFonts w:ascii="仿宋_GB2312"/>
          <w:sz w:val="32"/>
          <w:szCs w:val="32"/>
        </w:rPr>
        <w:t>.19</w:t>
      </w:r>
      <w:r>
        <w:rPr>
          <w:rFonts w:hint="eastAsia" w:ascii="仿宋_GB2312"/>
          <w:sz w:val="32"/>
          <w:szCs w:val="32"/>
        </w:rPr>
        <w:t>万项。</w:t>
      </w:r>
    </w:p>
    <w:p w14:paraId="2CC2065E">
      <w:pPr>
        <w:spacing w:line="580" w:lineRule="exact"/>
        <w:jc w:val="center"/>
        <w:rPr>
          <w:rFonts w:ascii="仿宋_GB2312"/>
          <w:b/>
          <w:bCs/>
          <w:szCs w:val="28"/>
        </w:rPr>
      </w:pPr>
    </w:p>
    <w:p w14:paraId="6455F1D7">
      <w:pPr>
        <w:spacing w:line="580" w:lineRule="exact"/>
        <w:jc w:val="center"/>
        <w:rPr>
          <w:rFonts w:ascii="仿宋_GB2312"/>
          <w:b/>
          <w:bCs/>
          <w:szCs w:val="28"/>
        </w:rPr>
      </w:pPr>
    </w:p>
    <w:p w14:paraId="3985F3EA">
      <w:pPr>
        <w:spacing w:line="580" w:lineRule="exact"/>
        <w:jc w:val="center"/>
        <w:rPr>
          <w:rFonts w:ascii="仿宋_GB2312"/>
          <w:b/>
          <w:bCs/>
          <w:szCs w:val="28"/>
        </w:rPr>
      </w:pPr>
    </w:p>
    <w:p w14:paraId="4DE24FB5">
      <w:pPr>
        <w:spacing w:line="580" w:lineRule="exact"/>
        <w:jc w:val="center"/>
        <w:rPr>
          <w:rFonts w:ascii="仿宋_GB2312"/>
          <w:b/>
          <w:bCs/>
          <w:szCs w:val="28"/>
        </w:rPr>
      </w:pPr>
      <w:r>
        <w:rPr>
          <w:rFonts w:hint="eastAsia" w:ascii="仿宋_GB2312"/>
          <w:b/>
          <w:bCs/>
          <w:szCs w:val="28"/>
        </w:rPr>
        <w:t xml:space="preserve">图表 </w:t>
      </w:r>
      <w:r>
        <w:rPr>
          <w:rFonts w:ascii="仿宋_GB2312"/>
          <w:b/>
          <w:bCs/>
          <w:szCs w:val="28"/>
        </w:rPr>
        <w:t xml:space="preserve">9  </w:t>
      </w:r>
      <w:r>
        <w:rPr>
          <w:rFonts w:hint="eastAsia" w:ascii="仿宋_GB2312"/>
          <w:b/>
          <w:bCs/>
          <w:szCs w:val="28"/>
        </w:rPr>
        <w:t>中国液体变容机械、泵专利受理量统计</w:t>
      </w:r>
    </w:p>
    <w:p w14:paraId="24B7D2EF">
      <w:pPr>
        <w:spacing w:line="276" w:lineRule="auto"/>
        <w:jc w:val="center"/>
        <w:rPr>
          <w:sz w:val="32"/>
          <w:szCs w:val="24"/>
        </w:rPr>
      </w:pPr>
      <w:r>
        <w:drawing>
          <wp:inline distT="0" distB="0" distL="0" distR="0">
            <wp:extent cx="5419725" cy="3251835"/>
            <wp:effectExtent l="0" t="0" r="9525" b="5715"/>
            <wp:docPr id="15"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652AA31">
      <w:pPr>
        <w:spacing w:line="580" w:lineRule="exact"/>
        <w:ind w:firstLine="560" w:firstLineChars="200"/>
      </w:pPr>
      <w:r>
        <w:rPr>
          <w:rFonts w:hint="eastAsia"/>
        </w:rPr>
        <w:t>数据来源：国家统计局</w:t>
      </w:r>
    </w:p>
    <w:p w14:paraId="3A35C046">
      <w:pPr>
        <w:spacing w:line="580" w:lineRule="exact"/>
        <w:ind w:firstLine="643" w:firstLineChars="200"/>
        <w:rPr>
          <w:rFonts w:ascii="仿宋_GB2312"/>
          <w:sz w:val="32"/>
          <w:szCs w:val="24"/>
        </w:rPr>
      </w:pPr>
      <w:r>
        <w:rPr>
          <w:rFonts w:hint="eastAsia" w:ascii="仿宋_GB2312"/>
          <w:b/>
          <w:bCs/>
          <w:sz w:val="32"/>
          <w:szCs w:val="24"/>
        </w:rPr>
        <w:t>我国泵制造企业主要集中在华东沿海地区，华北沿海地区以及长江中游地区。</w:t>
      </w:r>
      <w:r>
        <w:rPr>
          <w:rFonts w:hint="eastAsia" w:ascii="仿宋_GB2312"/>
          <w:sz w:val="32"/>
          <w:szCs w:val="24"/>
        </w:rPr>
        <w:t>泵行业属于通用机械行业的一个分支，是一个成熟的行业，发展相对稳定，处于行业周期的成熟期。近几年，随着我国经济的平稳健康发展，我国通用机械从国内泵行业的产能分布情况来看，全国泵制造企业主要集中在华东沿海地区，华北沿海地区以及长江中游地区，以上三个地区泵制造企业占全国的64%；特别华东沿海地区(江苏、浙江、上海)的泵制造企业占全国的38%。相对而言，西部地区泵制造企业较少，只占到全国的10%。</w:t>
      </w:r>
    </w:p>
    <w:p w14:paraId="33108D9A">
      <w:pPr>
        <w:spacing w:line="580" w:lineRule="exact"/>
        <w:ind w:firstLine="643" w:firstLineChars="200"/>
        <w:rPr>
          <w:rFonts w:ascii="仿宋_GB2312"/>
          <w:sz w:val="32"/>
          <w:szCs w:val="24"/>
        </w:rPr>
      </w:pPr>
      <w:r>
        <w:rPr>
          <w:rFonts w:hint="eastAsia" w:ascii="仿宋_GB2312"/>
          <w:b/>
          <w:bCs/>
          <w:sz w:val="32"/>
          <w:szCs w:val="24"/>
        </w:rPr>
        <w:t>二次供水、油泵、污水泵等业务市场将成为泵行业新的经济增长点。</w:t>
      </w:r>
      <w:r>
        <w:rPr>
          <w:rFonts w:hint="eastAsia" w:ascii="仿宋_GB2312"/>
          <w:sz w:val="32"/>
          <w:szCs w:val="24"/>
        </w:rPr>
        <w:t>从市场格局来看，国内泵行业重要细分市场领域的市场份额正逐步向优势企业集中，“智能化生产+智能化产品/服务”双驱动将成为未来行业技术发展趋势。此外，细分领域方面，预计二次供水、油泵、污水泵等业务市场需求将得到释放，市场份额逐渐扩大，未来将成为新的经济增长点。</w:t>
      </w:r>
    </w:p>
    <w:p w14:paraId="6E8A2F77">
      <w:pPr>
        <w:keepNext/>
        <w:keepLines/>
        <w:spacing w:line="580" w:lineRule="exact"/>
        <w:ind w:firstLine="643" w:firstLineChars="200"/>
        <w:outlineLvl w:val="1"/>
        <w:rPr>
          <w:rFonts w:ascii="楷体" w:hAnsi="楷体" w:eastAsia="楷体" w:cs="宋体"/>
          <w:b/>
          <w:bCs/>
          <w:color w:val="000000"/>
          <w:sz w:val="32"/>
          <w:szCs w:val="32"/>
        </w:rPr>
      </w:pPr>
      <w:bookmarkStart w:id="40" w:name="_Toc78208234"/>
      <w:r>
        <w:rPr>
          <w:rFonts w:hint="eastAsia" w:ascii="楷体" w:hAnsi="楷体" w:eastAsia="楷体" w:cs="宋体"/>
          <w:b/>
          <w:bCs/>
          <w:color w:val="000000"/>
          <w:sz w:val="32"/>
          <w:szCs w:val="32"/>
        </w:rPr>
        <w:t>（二）全国工业阀门市场现状</w:t>
      </w:r>
      <w:bookmarkEnd w:id="40"/>
    </w:p>
    <w:p w14:paraId="7A17027A">
      <w:pPr>
        <w:spacing w:line="580" w:lineRule="exact"/>
        <w:ind w:firstLine="643" w:firstLineChars="200"/>
        <w:rPr>
          <w:rFonts w:ascii="仿宋_GB2312" w:hAnsi="宋体" w:cs="宋体"/>
          <w:sz w:val="32"/>
          <w:szCs w:val="32"/>
        </w:rPr>
      </w:pPr>
      <w:r>
        <w:rPr>
          <w:rFonts w:hint="eastAsia" w:ascii="仿宋_GB2312" w:hAnsi="宋体" w:cs="宋体"/>
          <w:b/>
          <w:bCs/>
          <w:sz w:val="32"/>
          <w:szCs w:val="32"/>
        </w:rPr>
        <w:t>炼油、电力与化工为工业阀门行业下游的主要应用领域。</w:t>
      </w:r>
      <w:r>
        <w:rPr>
          <w:rFonts w:hint="eastAsia" w:ascii="仿宋_GB2312" w:hAnsi="宋体" w:cs="宋体"/>
          <w:sz w:val="32"/>
          <w:szCs w:val="32"/>
        </w:rPr>
        <w:t>工业阀门主要是指通过改变其流道面积的大小，控制流体流量、压力和流向的装置，是流体输送系统中的控制部件，其功能包括启闭作用、调节作用、节流作用等。根据国内最常用的通用分类法，阀门可分为闸阀、蝶阀、调节阀、止回阀、节流阀、排污阀、球阀、柱塞阀、减压阀、旋塞阀、蒸汽疏水阀、安全阀等类别。按照工业阀种类来看，闸阀、截止阀和球阀应用范围最广、适用下游领域最多。数据显示，炼油、电力与化工为工业阀门行业下游的主要应用领域，占比分别为16.1%、15.9%、13.9%。</w:t>
      </w:r>
    </w:p>
    <w:p w14:paraId="741F866D">
      <w:pPr>
        <w:spacing w:line="580" w:lineRule="exact"/>
        <w:ind w:firstLine="562" w:firstLineChars="200"/>
        <w:jc w:val="center"/>
        <w:rPr>
          <w:rFonts w:ascii="仿宋_GB2312" w:hAnsi="宋体" w:cs="宋体"/>
          <w:b/>
          <w:bCs/>
          <w:szCs w:val="28"/>
        </w:rPr>
      </w:pPr>
    </w:p>
    <w:p w14:paraId="38317B4D">
      <w:pPr>
        <w:spacing w:line="580" w:lineRule="exact"/>
        <w:ind w:firstLine="562" w:firstLineChars="200"/>
        <w:jc w:val="center"/>
        <w:rPr>
          <w:rFonts w:ascii="仿宋_GB2312" w:hAnsi="宋体" w:cs="宋体"/>
          <w:b/>
          <w:bCs/>
          <w:szCs w:val="28"/>
        </w:rPr>
      </w:pPr>
    </w:p>
    <w:p w14:paraId="1522BBCC">
      <w:pPr>
        <w:spacing w:line="580" w:lineRule="exact"/>
        <w:ind w:firstLine="562" w:firstLineChars="200"/>
        <w:jc w:val="center"/>
        <w:rPr>
          <w:rFonts w:ascii="仿宋_GB2312" w:hAnsi="宋体" w:cs="宋体"/>
          <w:b/>
          <w:bCs/>
          <w:szCs w:val="28"/>
        </w:rPr>
      </w:pPr>
    </w:p>
    <w:p w14:paraId="14980E5D">
      <w:pPr>
        <w:spacing w:line="580" w:lineRule="exact"/>
        <w:ind w:firstLine="562" w:firstLineChars="200"/>
        <w:jc w:val="center"/>
        <w:rPr>
          <w:rFonts w:ascii="仿宋_GB2312" w:hAnsi="宋体" w:cs="宋体"/>
          <w:b/>
          <w:bCs/>
          <w:szCs w:val="28"/>
        </w:rPr>
      </w:pPr>
    </w:p>
    <w:p w14:paraId="2B5121D3">
      <w:pPr>
        <w:spacing w:line="580" w:lineRule="exact"/>
        <w:ind w:firstLine="562" w:firstLineChars="200"/>
        <w:jc w:val="center"/>
        <w:rPr>
          <w:rFonts w:ascii="仿宋_GB2312" w:hAnsi="宋体" w:cs="宋体"/>
          <w:b/>
          <w:bCs/>
          <w:szCs w:val="28"/>
        </w:rPr>
      </w:pPr>
    </w:p>
    <w:p w14:paraId="3DCB23AA">
      <w:pPr>
        <w:spacing w:line="580" w:lineRule="exact"/>
        <w:ind w:firstLine="562" w:firstLineChars="200"/>
        <w:jc w:val="center"/>
        <w:rPr>
          <w:rFonts w:ascii="仿宋_GB2312" w:hAnsi="宋体" w:cs="宋体"/>
          <w:b/>
          <w:bCs/>
          <w:szCs w:val="28"/>
        </w:rPr>
      </w:pPr>
    </w:p>
    <w:p w14:paraId="62E244BE">
      <w:pPr>
        <w:spacing w:line="580" w:lineRule="exact"/>
        <w:ind w:firstLine="562" w:firstLineChars="200"/>
        <w:jc w:val="center"/>
        <w:rPr>
          <w:rFonts w:ascii="仿宋_GB2312" w:hAnsi="宋体" w:cs="宋体"/>
          <w:b/>
          <w:bCs/>
          <w:szCs w:val="28"/>
        </w:rPr>
      </w:pPr>
    </w:p>
    <w:p w14:paraId="195F7691">
      <w:pPr>
        <w:spacing w:line="580" w:lineRule="exact"/>
        <w:ind w:firstLine="562" w:firstLineChars="200"/>
        <w:jc w:val="center"/>
        <w:rPr>
          <w:rFonts w:ascii="仿宋_GB2312" w:hAnsi="宋体" w:cs="宋体"/>
          <w:b/>
          <w:bCs/>
          <w:szCs w:val="28"/>
        </w:rPr>
      </w:pPr>
      <w:r>
        <w:rPr>
          <w:rFonts w:hint="eastAsia" w:ascii="仿宋_GB2312" w:hAnsi="宋体" w:cs="宋体"/>
          <w:b/>
          <w:bCs/>
          <w:szCs w:val="28"/>
        </w:rPr>
        <w:t xml:space="preserve">图表 </w:t>
      </w:r>
      <w:r>
        <w:rPr>
          <w:rFonts w:ascii="仿宋_GB2312" w:hAnsi="宋体" w:cs="宋体"/>
          <w:b/>
          <w:bCs/>
          <w:szCs w:val="28"/>
        </w:rPr>
        <w:t xml:space="preserve">10  </w:t>
      </w:r>
      <w:r>
        <w:rPr>
          <w:rFonts w:hint="eastAsia" w:ascii="仿宋_GB2312" w:hAnsi="宋体" w:cs="宋体"/>
          <w:b/>
          <w:bCs/>
          <w:szCs w:val="28"/>
        </w:rPr>
        <w:t>我国工业阀门下游应用结构</w:t>
      </w:r>
    </w:p>
    <w:p w14:paraId="35196FA1">
      <w:pPr>
        <w:spacing w:line="276" w:lineRule="auto"/>
        <w:jc w:val="center"/>
        <w:rPr>
          <w:rFonts w:ascii="仿宋_GB2312" w:hAnsi="宋体" w:cs="宋体"/>
          <w:sz w:val="32"/>
          <w:szCs w:val="32"/>
        </w:rPr>
      </w:pPr>
      <w:r>
        <w:drawing>
          <wp:inline distT="0" distB="0" distL="0" distR="0">
            <wp:extent cx="5731510" cy="2782570"/>
            <wp:effectExtent l="0" t="0" r="2540" b="17780"/>
            <wp:docPr id="16" name="图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0E5BBF7">
      <w:pPr>
        <w:spacing w:line="580" w:lineRule="exact"/>
        <w:ind w:firstLine="560" w:firstLineChars="200"/>
        <w:rPr>
          <w:rFonts w:ascii="仿宋_GB2312" w:hAnsi="宋体" w:cs="宋体"/>
          <w:szCs w:val="28"/>
        </w:rPr>
      </w:pPr>
      <w:r>
        <w:rPr>
          <w:rFonts w:hint="eastAsia" w:ascii="仿宋_GB2312" w:hAnsi="宋体" w:cs="宋体"/>
          <w:szCs w:val="28"/>
        </w:rPr>
        <w:t>数据来源：中商产业研究院整理</w:t>
      </w:r>
    </w:p>
    <w:p w14:paraId="5C9DA517">
      <w:pPr>
        <w:spacing w:line="580" w:lineRule="exact"/>
        <w:ind w:firstLine="643" w:firstLineChars="200"/>
        <w:rPr>
          <w:rFonts w:ascii="仿宋_GB2312" w:hAnsi="宋体" w:cs="宋体"/>
          <w:sz w:val="32"/>
          <w:szCs w:val="32"/>
        </w:rPr>
      </w:pPr>
      <w:r>
        <w:rPr>
          <w:rFonts w:hint="eastAsia" w:ascii="仿宋_GB2312" w:hAnsi="宋体" w:cs="宋体"/>
          <w:b/>
          <w:bCs/>
          <w:sz w:val="32"/>
          <w:szCs w:val="32"/>
        </w:rPr>
        <w:t>得益于经济增长与相关基础设施建设的开展，我国工业阀门市场保持稳定增长。</w:t>
      </w:r>
      <w:r>
        <w:rPr>
          <w:rFonts w:hint="eastAsia" w:ascii="仿宋_GB2312" w:hAnsi="宋体" w:cs="宋体"/>
          <w:sz w:val="32"/>
          <w:szCs w:val="32"/>
        </w:rPr>
        <w:t>2015-2018年，受油气、化工、电力等下游需求增速有所放缓，加上</w:t>
      </w:r>
      <w:r>
        <w:rPr>
          <w:rFonts w:hint="eastAsia" w:ascii="仿宋_GB2312" w:hAnsi="宋体" w:cs="宋体"/>
          <w:sz w:val="32"/>
          <w:szCs w:val="32"/>
          <w:lang w:eastAsia="zh-CN"/>
        </w:rPr>
        <w:t>中央环境保护督察</w:t>
      </w:r>
      <w:r>
        <w:rPr>
          <w:rFonts w:hint="eastAsia" w:ascii="仿宋_GB2312" w:hAnsi="宋体" w:cs="宋体"/>
          <w:sz w:val="32"/>
          <w:szCs w:val="32"/>
        </w:rPr>
        <w:t>、</w:t>
      </w:r>
      <w:r>
        <w:rPr>
          <w:rFonts w:hint="eastAsia" w:ascii="仿宋_GB2312" w:hAnsi="宋体" w:cs="宋体"/>
          <w:sz w:val="32"/>
          <w:szCs w:val="32"/>
          <w:lang w:eastAsia="zh-CN"/>
        </w:rPr>
        <w:t>供给侧结构性改革</w:t>
      </w:r>
      <w:r>
        <w:rPr>
          <w:rFonts w:hint="eastAsia" w:ascii="仿宋_GB2312" w:hAnsi="宋体" w:cs="宋体"/>
          <w:sz w:val="32"/>
          <w:szCs w:val="32"/>
        </w:rPr>
        <w:t>等因素叠加影响，我国工业阀门产量有所下滑。但在下游需求反弹驱动下，我国工业阀门产量实现高速增长，达652.2万吨，同比增长34.11%。预计2</w:t>
      </w:r>
      <w:r>
        <w:rPr>
          <w:rFonts w:ascii="仿宋_GB2312" w:hAnsi="宋体" w:cs="宋体"/>
          <w:sz w:val="32"/>
          <w:szCs w:val="32"/>
        </w:rPr>
        <w:t>020</w:t>
      </w:r>
      <w:r>
        <w:rPr>
          <w:rFonts w:hint="eastAsia" w:ascii="仿宋_GB2312" w:hAnsi="宋体" w:cs="宋体"/>
          <w:sz w:val="32"/>
          <w:szCs w:val="32"/>
        </w:rPr>
        <w:t>年将突破8</w:t>
      </w:r>
      <w:r>
        <w:rPr>
          <w:rFonts w:ascii="仿宋_GB2312" w:hAnsi="宋体" w:cs="宋体"/>
          <w:sz w:val="32"/>
          <w:szCs w:val="32"/>
        </w:rPr>
        <w:t>40</w:t>
      </w:r>
      <w:r>
        <w:rPr>
          <w:rFonts w:hint="eastAsia" w:ascii="仿宋_GB2312" w:hAnsi="宋体" w:cs="宋体"/>
          <w:sz w:val="32"/>
          <w:szCs w:val="32"/>
        </w:rPr>
        <w:t>万吨。</w:t>
      </w:r>
    </w:p>
    <w:p w14:paraId="22ABBFA4">
      <w:pPr>
        <w:spacing w:line="580" w:lineRule="exact"/>
        <w:jc w:val="center"/>
        <w:rPr>
          <w:rFonts w:ascii="仿宋_GB2312" w:hAnsi="宋体" w:cs="宋体"/>
          <w:b/>
          <w:bCs/>
          <w:szCs w:val="28"/>
        </w:rPr>
      </w:pPr>
    </w:p>
    <w:p w14:paraId="00054AE9">
      <w:pPr>
        <w:spacing w:line="580" w:lineRule="exact"/>
        <w:jc w:val="center"/>
        <w:rPr>
          <w:rFonts w:ascii="仿宋_GB2312" w:hAnsi="宋体" w:cs="宋体"/>
          <w:b/>
          <w:bCs/>
          <w:szCs w:val="28"/>
        </w:rPr>
      </w:pPr>
    </w:p>
    <w:p w14:paraId="1CD2E7DF">
      <w:pPr>
        <w:spacing w:line="580" w:lineRule="exact"/>
        <w:jc w:val="center"/>
        <w:rPr>
          <w:rFonts w:ascii="仿宋_GB2312" w:hAnsi="宋体" w:cs="宋体"/>
          <w:b/>
          <w:bCs/>
          <w:szCs w:val="28"/>
        </w:rPr>
      </w:pPr>
    </w:p>
    <w:p w14:paraId="78F69E81">
      <w:pPr>
        <w:spacing w:line="580" w:lineRule="exact"/>
        <w:jc w:val="center"/>
        <w:rPr>
          <w:rFonts w:ascii="仿宋_GB2312" w:hAnsi="宋体" w:cs="宋体"/>
          <w:b/>
          <w:bCs/>
          <w:szCs w:val="28"/>
        </w:rPr>
      </w:pPr>
    </w:p>
    <w:p w14:paraId="42730C10">
      <w:pPr>
        <w:spacing w:line="580" w:lineRule="exact"/>
        <w:jc w:val="center"/>
        <w:rPr>
          <w:rFonts w:ascii="仿宋_GB2312" w:hAnsi="宋体" w:cs="宋体"/>
          <w:b/>
          <w:bCs/>
          <w:szCs w:val="28"/>
        </w:rPr>
      </w:pPr>
    </w:p>
    <w:p w14:paraId="7EACCF3F">
      <w:pPr>
        <w:spacing w:line="580" w:lineRule="exact"/>
        <w:jc w:val="center"/>
        <w:rPr>
          <w:rFonts w:ascii="仿宋_GB2312" w:hAnsi="宋体" w:cs="宋体"/>
          <w:b/>
          <w:bCs/>
          <w:szCs w:val="28"/>
        </w:rPr>
      </w:pPr>
    </w:p>
    <w:p w14:paraId="70334F01">
      <w:pPr>
        <w:spacing w:line="580" w:lineRule="exact"/>
        <w:jc w:val="center"/>
        <w:rPr>
          <w:rFonts w:ascii="仿宋_GB2312" w:hAnsi="宋体" w:cs="宋体"/>
          <w:b/>
          <w:bCs/>
          <w:szCs w:val="28"/>
        </w:rPr>
      </w:pPr>
      <w:r>
        <w:rPr>
          <w:rFonts w:hint="eastAsia" w:ascii="仿宋_GB2312" w:hAnsi="宋体" w:cs="宋体"/>
          <w:b/>
          <w:bCs/>
          <w:szCs w:val="28"/>
        </w:rPr>
        <w:t xml:space="preserve">图表 </w:t>
      </w:r>
      <w:r>
        <w:rPr>
          <w:rFonts w:ascii="仿宋_GB2312" w:hAnsi="宋体" w:cs="宋体"/>
          <w:b/>
          <w:bCs/>
          <w:szCs w:val="28"/>
        </w:rPr>
        <w:t xml:space="preserve">11  </w:t>
      </w:r>
      <w:r>
        <w:rPr>
          <w:rFonts w:hint="eastAsia" w:ascii="仿宋_GB2312" w:hAnsi="宋体" w:cs="宋体"/>
          <w:b/>
          <w:bCs/>
          <w:szCs w:val="28"/>
        </w:rPr>
        <w:t>我国工业阀门产量</w:t>
      </w:r>
    </w:p>
    <w:p w14:paraId="01078D52">
      <w:pPr>
        <w:spacing w:line="276" w:lineRule="auto"/>
        <w:jc w:val="center"/>
        <w:rPr>
          <w:rFonts w:ascii="仿宋_GB2312" w:hAnsi="宋体" w:cs="宋体"/>
          <w:sz w:val="32"/>
          <w:szCs w:val="32"/>
        </w:rPr>
      </w:pPr>
      <w:r>
        <w:drawing>
          <wp:inline distT="0" distB="0" distL="0" distR="0">
            <wp:extent cx="5659755" cy="3506470"/>
            <wp:effectExtent l="0" t="0" r="17145" b="1778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7832273">
      <w:pPr>
        <w:spacing w:line="580" w:lineRule="exact"/>
        <w:ind w:firstLine="560" w:firstLineChars="200"/>
        <w:rPr>
          <w:rFonts w:ascii="仿宋_GB2312" w:hAnsi="宋体" w:cs="宋体"/>
          <w:szCs w:val="28"/>
        </w:rPr>
      </w:pPr>
      <w:r>
        <w:rPr>
          <w:rFonts w:hint="eastAsia" w:ascii="仿宋_GB2312" w:hAnsi="宋体" w:cs="宋体"/>
          <w:szCs w:val="28"/>
        </w:rPr>
        <w:t>数据来源：中商产业研究院整理</w:t>
      </w:r>
    </w:p>
    <w:p w14:paraId="0C55A7D2">
      <w:pPr>
        <w:spacing w:line="580" w:lineRule="exact"/>
        <w:ind w:firstLine="643" w:firstLineChars="200"/>
        <w:rPr>
          <w:rFonts w:ascii="仿宋_GB2312" w:hAnsi="宋体" w:cs="宋体"/>
          <w:sz w:val="32"/>
          <w:szCs w:val="32"/>
        </w:rPr>
      </w:pPr>
      <w:r>
        <w:rPr>
          <w:rFonts w:hint="eastAsia" w:ascii="仿宋_GB2312" w:hAnsi="宋体" w:cs="宋体"/>
          <w:b/>
          <w:bCs/>
          <w:sz w:val="32"/>
          <w:szCs w:val="32"/>
        </w:rPr>
        <w:t>我国工业阀门行业集中度较低，中高端工业阀门产品进口替代空间广阔。</w:t>
      </w:r>
      <w:r>
        <w:rPr>
          <w:rFonts w:hint="eastAsia" w:ascii="仿宋_GB2312" w:hAnsi="宋体" w:cs="宋体"/>
          <w:sz w:val="32"/>
          <w:szCs w:val="32"/>
        </w:rPr>
        <w:t>我国工业阀门企业较国外巨头体量仍然很小，市场格局较为分散，行业集中度CR5低于10%，国内生产工业阀门方面规模较大的企业主要包括纽威股份、江苏神通、中核科技、道森股份、永和智控等。目前我国在低端工业阀门领域已基本实现国产化，但由于国产企业体量较小，我国中高端工业阀门产品进口替代空间广阔。展望未来，随着相关企业研发能力不断增强，我国高性能工业阀门将逐渐国产化，超低温阀门与核电阀门将成为新兴市场。</w:t>
      </w:r>
    </w:p>
    <w:p w14:paraId="1F6C10E5">
      <w:pPr>
        <w:pStyle w:val="3"/>
        <w:spacing w:before="0" w:after="0" w:line="580" w:lineRule="exact"/>
        <w:ind w:firstLine="643" w:firstLineChars="200"/>
        <w:rPr>
          <w:rFonts w:ascii="黑体" w:hAnsi="黑体" w:eastAsia="黑体" w:cs="宋体"/>
          <w:color w:val="000000" w:themeColor="text1"/>
          <w:sz w:val="32"/>
          <w14:textFill>
            <w14:solidFill>
              <w14:schemeClr w14:val="tx1"/>
            </w14:solidFill>
          </w14:textFill>
        </w:rPr>
      </w:pPr>
      <w:bookmarkStart w:id="41" w:name="_Toc78208235"/>
      <w:bookmarkStart w:id="42" w:name="_Toc76718411"/>
      <w:r>
        <w:rPr>
          <w:rFonts w:ascii="黑体" w:hAnsi="黑体" w:eastAsia="黑体" w:cs="宋体"/>
          <w:color w:val="000000" w:themeColor="text1"/>
          <w:sz w:val="32"/>
          <w14:textFill>
            <w14:solidFill>
              <w14:schemeClr w14:val="tx1"/>
            </w14:solidFill>
          </w14:textFill>
        </w:rPr>
        <w:t>二、市场前景</w:t>
      </w:r>
      <w:bookmarkEnd w:id="41"/>
      <w:bookmarkEnd w:id="42"/>
    </w:p>
    <w:p w14:paraId="65922F22">
      <w:pPr>
        <w:spacing w:line="580" w:lineRule="exact"/>
        <w:ind w:firstLine="640" w:firstLineChars="200"/>
        <w:rPr>
          <w:rFonts w:ascii="仿宋_GB2312" w:hAnsi="宋体" w:cs="宋体"/>
          <w:sz w:val="32"/>
          <w:szCs w:val="32"/>
        </w:rPr>
      </w:pPr>
      <w:r>
        <w:rPr>
          <w:rFonts w:hint="eastAsia" w:ascii="仿宋_GB2312" w:hAnsi="宋体" w:cs="宋体"/>
          <w:sz w:val="32"/>
          <w:szCs w:val="32"/>
        </w:rPr>
        <w:t>泵被喻为“现代工业的心脏”，广泛应用于石油、化学和石油化工、冶金、电力等领域，在国民经济各领域和基础设施及国防建设持续快速发展的带动下，我国通用机械制造行业保持稳步发展的态势，包括泵行业在内的各通用设备行业将不断发展。</w:t>
      </w:r>
    </w:p>
    <w:p w14:paraId="6202054F">
      <w:pPr>
        <w:spacing w:line="580" w:lineRule="exact"/>
        <w:ind w:firstLine="640" w:firstLineChars="200"/>
        <w:rPr>
          <w:rFonts w:ascii="仿宋_GB2312" w:hAnsi="宋体" w:cs="宋体"/>
          <w:sz w:val="32"/>
          <w:szCs w:val="32"/>
        </w:rPr>
      </w:pPr>
      <w:r>
        <w:rPr>
          <w:rFonts w:hint="eastAsia" w:ascii="仿宋_GB2312" w:hAnsi="宋体" w:cs="宋体"/>
          <w:sz w:val="32"/>
          <w:szCs w:val="32"/>
        </w:rPr>
        <w:t>阀门属于消耗品，大约3-5年需要更换一次，特别是在炼化、危险化学品、核工业等领域要求更高。但是相比于西方发达国家而言，目前我国阀门需求约有90%仍由新增需求构成，发展马力依然强劲。</w:t>
      </w:r>
      <w:r>
        <w:rPr>
          <w:rFonts w:ascii="方正小标宋简体" w:hAnsi="宋体" w:eastAsia="方正小标宋简体" w:cs="宋体"/>
          <w:color w:val="000000" w:themeColor="text1"/>
          <w:sz w:val="44"/>
          <w14:textFill>
            <w14:solidFill>
              <w14:schemeClr w14:val="tx1"/>
            </w14:solidFill>
          </w14:textFill>
        </w:rPr>
        <w:br w:type="page"/>
      </w:r>
    </w:p>
    <w:p w14:paraId="60A17279">
      <w:pPr>
        <w:pStyle w:val="2"/>
        <w:spacing w:before="0" w:after="0" w:line="580" w:lineRule="exact"/>
        <w:jc w:val="center"/>
        <w:rPr>
          <w:rFonts w:ascii="方正小标宋简体" w:hAnsi="宋体" w:eastAsia="方正小标宋简体" w:cs="宋体"/>
          <w:color w:val="000000" w:themeColor="text1"/>
          <w:sz w:val="44"/>
          <w14:textFill>
            <w14:solidFill>
              <w14:schemeClr w14:val="tx1"/>
            </w14:solidFill>
          </w14:textFill>
        </w:rPr>
      </w:pPr>
      <w:bookmarkStart w:id="43" w:name="_Toc76718412"/>
      <w:bookmarkStart w:id="44" w:name="_Toc78208236"/>
      <w:r>
        <w:rPr>
          <w:rFonts w:ascii="方正小标宋简体" w:hAnsi="宋体" w:eastAsia="方正小标宋简体" w:cs="宋体"/>
          <w:color w:val="000000" w:themeColor="text1"/>
          <w:sz w:val="44"/>
          <w14:textFill>
            <w14:solidFill>
              <w14:schemeClr w14:val="tx1"/>
            </w14:solidFill>
          </w14:textFill>
        </w:rPr>
        <w:t>第五章</w:t>
      </w:r>
      <w:r>
        <w:rPr>
          <w:rFonts w:hint="eastAsia" w:ascii="方正小标宋简体" w:hAnsi="宋体" w:eastAsia="方正小标宋简体" w:cs="宋体"/>
          <w:color w:val="000000" w:themeColor="text1"/>
          <w:sz w:val="44"/>
          <w14:textFill>
            <w14:solidFill>
              <w14:schemeClr w14:val="tx1"/>
            </w14:solidFill>
          </w14:textFill>
        </w:rPr>
        <w:t xml:space="preserve"> </w:t>
      </w:r>
      <w:r>
        <w:rPr>
          <w:rFonts w:ascii="方正小标宋简体" w:hAnsi="宋体" w:eastAsia="方正小标宋简体" w:cs="宋体"/>
          <w:color w:val="000000" w:themeColor="text1"/>
          <w:sz w:val="44"/>
          <w14:textFill>
            <w14:solidFill>
              <w14:schemeClr w14:val="tx1"/>
            </w14:solidFill>
          </w14:textFill>
        </w:rPr>
        <w:t>项目盈利能力</w:t>
      </w:r>
      <w:bookmarkEnd w:id="43"/>
      <w:bookmarkEnd w:id="44"/>
    </w:p>
    <w:p w14:paraId="711D9230">
      <w:pPr>
        <w:spacing w:line="580" w:lineRule="exact"/>
        <w:rPr>
          <w:rFonts w:ascii="方正小标宋简体" w:eastAsia="方正小标宋简体"/>
          <w:sz w:val="44"/>
          <w:szCs w:val="44"/>
        </w:rPr>
      </w:pPr>
      <w:r>
        <w:rPr>
          <w:rFonts w:hint="eastAsia" w:ascii="方正小标宋简体" w:eastAsia="方正小标宋简体"/>
          <w:sz w:val="44"/>
          <w:szCs w:val="44"/>
        </w:rPr>
        <w:t xml:space="preserve"> </w:t>
      </w:r>
    </w:p>
    <w:p w14:paraId="56E2407D">
      <w:pPr>
        <w:pStyle w:val="3"/>
        <w:spacing w:before="0" w:after="0" w:line="580" w:lineRule="exact"/>
        <w:ind w:firstLine="643" w:firstLineChars="200"/>
        <w:rPr>
          <w:rFonts w:ascii="黑体" w:hAnsi="黑体" w:eastAsia="黑体" w:cs="宋体"/>
          <w:color w:val="000000" w:themeColor="text1"/>
          <w:sz w:val="32"/>
          <w14:textFill>
            <w14:solidFill>
              <w14:schemeClr w14:val="tx1"/>
            </w14:solidFill>
          </w14:textFill>
        </w:rPr>
      </w:pPr>
      <w:bookmarkStart w:id="45" w:name="_Toc78208237"/>
      <w:bookmarkStart w:id="46" w:name="_Toc76718413"/>
      <w:r>
        <w:rPr>
          <w:rFonts w:ascii="黑体" w:hAnsi="黑体" w:eastAsia="黑体" w:cs="宋体"/>
          <w:color w:val="000000" w:themeColor="text1"/>
          <w:sz w:val="32"/>
          <w14:textFill>
            <w14:solidFill>
              <w14:schemeClr w14:val="tx1"/>
            </w14:solidFill>
          </w14:textFill>
        </w:rPr>
        <w:t>一、项目投资测算</w:t>
      </w:r>
      <w:bookmarkEnd w:id="45"/>
      <w:bookmarkEnd w:id="46"/>
    </w:p>
    <w:p w14:paraId="7A478D13">
      <w:pPr>
        <w:spacing w:line="580" w:lineRule="exact"/>
        <w:ind w:firstLine="640" w:firstLineChars="200"/>
        <w:rPr>
          <w:rFonts w:ascii="仿宋_GB2312" w:hAnsi="宋体" w:cs="宋体"/>
          <w:sz w:val="32"/>
          <w:szCs w:val="32"/>
        </w:rPr>
      </w:pPr>
      <w:r>
        <w:rPr>
          <w:rFonts w:ascii="仿宋_GB2312" w:hAnsi="宋体" w:cs="宋体"/>
          <w:sz w:val="32"/>
          <w:szCs w:val="32"/>
        </w:rPr>
        <w:t>项目预期投资</w:t>
      </w:r>
      <w:r>
        <w:rPr>
          <w:rFonts w:hint="eastAsia" w:ascii="仿宋_GB2312" w:hAnsi="宋体" w:cs="宋体"/>
          <w:sz w:val="32"/>
          <w:szCs w:val="32"/>
        </w:rPr>
        <w:t>包括建安工程费、设备购置费、土地成本、</w:t>
      </w:r>
      <w:bookmarkStart w:id="47" w:name="_Hlk75962645"/>
      <w:r>
        <w:rPr>
          <w:rFonts w:hint="eastAsia" w:ascii="仿宋_GB2312" w:hAnsi="宋体" w:cs="宋体"/>
          <w:sz w:val="32"/>
          <w:szCs w:val="32"/>
        </w:rPr>
        <w:t>与项目建设有关的费用</w:t>
      </w:r>
      <w:bookmarkEnd w:id="47"/>
      <w:r>
        <w:rPr>
          <w:rFonts w:hint="eastAsia" w:ascii="仿宋_GB2312" w:hAnsi="宋体" w:cs="宋体"/>
          <w:sz w:val="32"/>
          <w:szCs w:val="32"/>
        </w:rPr>
        <w:t>、基本预备费</w:t>
      </w:r>
      <w:r>
        <w:rPr>
          <w:rFonts w:ascii="仿宋_GB2312" w:hAnsi="宋体" w:cs="宋体"/>
          <w:sz w:val="32"/>
          <w:szCs w:val="32"/>
        </w:rPr>
        <w:t>和</w:t>
      </w:r>
      <w:r>
        <w:rPr>
          <w:rFonts w:hint="eastAsia" w:ascii="仿宋_GB2312" w:hAnsi="宋体" w:cs="宋体"/>
          <w:sz w:val="32"/>
          <w:szCs w:val="32"/>
        </w:rPr>
        <w:t>铺底</w:t>
      </w:r>
      <w:r>
        <w:rPr>
          <w:rFonts w:ascii="仿宋_GB2312" w:hAnsi="宋体" w:cs="宋体"/>
          <w:sz w:val="32"/>
          <w:szCs w:val="32"/>
        </w:rPr>
        <w:t>流动资金。</w:t>
      </w:r>
    </w:p>
    <w:p w14:paraId="4F99EBF9">
      <w:pPr>
        <w:spacing w:line="580" w:lineRule="exact"/>
        <w:ind w:firstLine="643" w:firstLineChars="200"/>
        <w:rPr>
          <w:rFonts w:ascii="仿宋_GB2312" w:hAnsi="宋体" w:cs="宋体"/>
          <w:sz w:val="32"/>
          <w:szCs w:val="32"/>
        </w:rPr>
      </w:pPr>
      <w:bookmarkStart w:id="48" w:name="_Hlk75963194"/>
      <w:r>
        <w:rPr>
          <w:rFonts w:hint="eastAsia" w:ascii="仿宋_GB2312" w:hAnsi="宋体" w:cs="宋体"/>
          <w:b/>
          <w:sz w:val="32"/>
          <w:szCs w:val="32"/>
        </w:rPr>
        <w:t>建安工程费</w:t>
      </w:r>
      <w:bookmarkEnd w:id="48"/>
      <w:r>
        <w:rPr>
          <w:rFonts w:ascii="仿宋_GB2312" w:hAnsi="宋体" w:cs="宋体"/>
          <w:b/>
          <w:sz w:val="32"/>
          <w:szCs w:val="32"/>
        </w:rPr>
        <w:t>：</w:t>
      </w:r>
      <w:r>
        <w:rPr>
          <w:rFonts w:ascii="仿宋_GB2312" w:hAnsi="宋体" w:cs="宋体"/>
          <w:sz w:val="32"/>
          <w:szCs w:val="32"/>
        </w:rPr>
        <w:t>项目</w:t>
      </w:r>
      <w:r>
        <w:rPr>
          <w:rFonts w:hint="eastAsia" w:ascii="仿宋_GB2312" w:hAnsi="宋体" w:cs="宋体"/>
          <w:sz w:val="32"/>
          <w:szCs w:val="32"/>
        </w:rPr>
        <w:t>主要建设各类阀、泵系列产品生产车间、仓储库房、办公楼、生活及其他辅助用房等工程</w:t>
      </w:r>
      <w:r>
        <w:rPr>
          <w:rFonts w:ascii="仿宋_GB2312" w:hAnsi="宋体" w:cs="宋体"/>
          <w:sz w:val="32"/>
          <w:szCs w:val="32"/>
        </w:rPr>
        <w:t>，建筑面积约为11万平方米，</w:t>
      </w:r>
      <w:r>
        <w:rPr>
          <w:rFonts w:hint="eastAsia" w:ascii="仿宋_GB2312" w:hAnsi="宋体" w:cs="宋体"/>
          <w:sz w:val="32"/>
          <w:szCs w:val="32"/>
        </w:rPr>
        <w:t>建安工程费预计</w:t>
      </w:r>
      <w:r>
        <w:rPr>
          <w:rFonts w:ascii="仿宋_GB2312" w:hAnsi="宋体" w:cs="宋体"/>
          <w:sz w:val="32"/>
          <w:szCs w:val="32"/>
        </w:rPr>
        <w:t>为12100万元。</w:t>
      </w:r>
    </w:p>
    <w:p w14:paraId="6F5247DB">
      <w:pPr>
        <w:spacing w:line="580" w:lineRule="exact"/>
        <w:ind w:firstLine="643" w:firstLineChars="200"/>
        <w:rPr>
          <w:rFonts w:ascii="仿宋_GB2312" w:hAnsi="宋体" w:cs="宋体"/>
          <w:sz w:val="32"/>
          <w:szCs w:val="32"/>
        </w:rPr>
      </w:pPr>
      <w:r>
        <w:rPr>
          <w:rFonts w:hint="eastAsia" w:ascii="仿宋_GB2312" w:hAnsi="宋体" w:cs="宋体"/>
          <w:b/>
          <w:sz w:val="32"/>
          <w:szCs w:val="32"/>
        </w:rPr>
        <w:t>设备购置费</w:t>
      </w:r>
      <w:r>
        <w:rPr>
          <w:rFonts w:ascii="仿宋_GB2312" w:hAnsi="宋体" w:cs="宋体"/>
          <w:b/>
          <w:sz w:val="32"/>
          <w:szCs w:val="32"/>
        </w:rPr>
        <w:t>：</w:t>
      </w:r>
      <w:r>
        <w:rPr>
          <w:rFonts w:hint="eastAsia" w:ascii="仿宋_GB2312" w:hAnsi="宋体" w:cs="宋体"/>
          <w:sz w:val="32"/>
          <w:szCs w:val="32"/>
        </w:rPr>
        <w:t>设备投资包括生产阀、泵产品所需主要生产设备、辅助生产设备、工业环保设备、交通运输设备、办公设备以及其他设备，预计需</w:t>
      </w:r>
      <w:r>
        <w:rPr>
          <w:rFonts w:ascii="仿宋_GB2312" w:hAnsi="宋体" w:cs="宋体"/>
          <w:sz w:val="32"/>
          <w:szCs w:val="32"/>
        </w:rPr>
        <w:t>13000</w:t>
      </w:r>
      <w:r>
        <w:rPr>
          <w:rFonts w:hint="eastAsia" w:ascii="仿宋_GB2312" w:hAnsi="宋体" w:cs="宋体"/>
          <w:sz w:val="32"/>
          <w:szCs w:val="32"/>
        </w:rPr>
        <w:t>万元。</w:t>
      </w:r>
    </w:p>
    <w:p w14:paraId="38953359">
      <w:pPr>
        <w:spacing w:line="580" w:lineRule="exact"/>
        <w:ind w:firstLine="643" w:firstLineChars="200"/>
        <w:rPr>
          <w:rFonts w:ascii="仿宋_GB2312" w:hAnsi="宋体" w:cs="宋体"/>
          <w:sz w:val="32"/>
          <w:szCs w:val="32"/>
        </w:rPr>
      </w:pPr>
      <w:r>
        <w:rPr>
          <w:rFonts w:ascii="仿宋_GB2312" w:hAnsi="宋体" w:cs="宋体"/>
          <w:b/>
          <w:sz w:val="32"/>
          <w:szCs w:val="32"/>
        </w:rPr>
        <w:t>土地</w:t>
      </w:r>
      <w:r>
        <w:rPr>
          <w:rFonts w:hint="eastAsia" w:ascii="仿宋_GB2312" w:hAnsi="宋体" w:cs="宋体"/>
          <w:b/>
          <w:sz w:val="32"/>
          <w:szCs w:val="32"/>
        </w:rPr>
        <w:t>成本</w:t>
      </w:r>
      <w:r>
        <w:rPr>
          <w:rFonts w:ascii="仿宋_GB2312" w:hAnsi="宋体" w:cs="宋体"/>
          <w:b/>
          <w:sz w:val="32"/>
          <w:szCs w:val="32"/>
        </w:rPr>
        <w:t>：</w:t>
      </w:r>
      <w:r>
        <w:rPr>
          <w:rFonts w:ascii="仿宋_GB2312" w:hAnsi="宋体" w:cs="宋体"/>
          <w:sz w:val="32"/>
          <w:szCs w:val="32"/>
        </w:rPr>
        <w:t>本项目用地面积150亩，</w:t>
      </w:r>
      <w:r>
        <w:rPr>
          <w:rFonts w:hint="eastAsia" w:ascii="仿宋_GB2312" w:hAnsi="宋体" w:cs="宋体"/>
          <w:sz w:val="32"/>
          <w:szCs w:val="32"/>
        </w:rPr>
        <w:t>单位用地成本为</w:t>
      </w:r>
      <w:r>
        <w:rPr>
          <w:rFonts w:ascii="仿宋_GB2312" w:hAnsi="宋体" w:cs="宋体"/>
          <w:sz w:val="32"/>
          <w:szCs w:val="32"/>
        </w:rPr>
        <w:t>12</w:t>
      </w:r>
      <w:r>
        <w:rPr>
          <w:rFonts w:hint="eastAsia" w:ascii="仿宋_GB2312" w:hAnsi="宋体" w:cs="宋体"/>
          <w:sz w:val="32"/>
          <w:szCs w:val="32"/>
        </w:rPr>
        <w:t>万元/亩，土地成本</w:t>
      </w:r>
      <w:r>
        <w:rPr>
          <w:rFonts w:ascii="仿宋_GB2312" w:hAnsi="宋体" w:cs="宋体"/>
          <w:sz w:val="32"/>
          <w:szCs w:val="32"/>
        </w:rPr>
        <w:t>为1800万元。</w:t>
      </w:r>
    </w:p>
    <w:p w14:paraId="3695971B">
      <w:pPr>
        <w:spacing w:line="580" w:lineRule="exact"/>
        <w:ind w:firstLine="643" w:firstLineChars="200"/>
        <w:rPr>
          <w:rFonts w:ascii="仿宋_GB2312" w:hAnsi="宋体" w:cs="宋体"/>
          <w:sz w:val="32"/>
          <w:szCs w:val="32"/>
        </w:rPr>
      </w:pPr>
      <w:r>
        <w:rPr>
          <w:rFonts w:hint="eastAsia" w:ascii="仿宋_GB2312" w:hAnsi="宋体" w:cs="宋体"/>
          <w:b/>
          <w:sz w:val="32"/>
          <w:szCs w:val="32"/>
        </w:rPr>
        <w:t>与项目建设有关的费用</w:t>
      </w:r>
      <w:r>
        <w:rPr>
          <w:rFonts w:ascii="仿宋_GB2312" w:hAnsi="宋体" w:cs="宋体"/>
          <w:b/>
          <w:sz w:val="32"/>
          <w:szCs w:val="32"/>
        </w:rPr>
        <w:t>：</w:t>
      </w:r>
      <w:r>
        <w:rPr>
          <w:rFonts w:ascii="仿宋_GB2312" w:hAnsi="宋体" w:cs="宋体"/>
          <w:sz w:val="32"/>
          <w:szCs w:val="32"/>
        </w:rPr>
        <w:t>包括</w:t>
      </w:r>
      <w:r>
        <w:rPr>
          <w:rFonts w:hint="eastAsia" w:ascii="仿宋_GB2312" w:hAnsi="宋体" w:cs="宋体"/>
          <w:sz w:val="32"/>
          <w:szCs w:val="32"/>
        </w:rPr>
        <w:t>建设单位管理费、建设项目前期工作咨询费、</w:t>
      </w:r>
      <w:r>
        <w:rPr>
          <w:rFonts w:ascii="仿宋_GB2312" w:hAnsi="宋体" w:cs="宋体"/>
          <w:sz w:val="32"/>
          <w:szCs w:val="32"/>
        </w:rPr>
        <w:t>勘察设计费、工程监理费等，结合项目建设规模，</w:t>
      </w:r>
      <w:r>
        <w:rPr>
          <w:rFonts w:hint="eastAsia" w:ascii="仿宋_GB2312" w:hAnsi="宋体" w:cs="宋体"/>
          <w:sz w:val="32"/>
          <w:szCs w:val="32"/>
        </w:rPr>
        <w:t>与项目建设有关的费用</w:t>
      </w:r>
      <w:r>
        <w:rPr>
          <w:rFonts w:ascii="仿宋_GB2312" w:hAnsi="宋体" w:cs="宋体"/>
          <w:sz w:val="32"/>
          <w:szCs w:val="32"/>
        </w:rPr>
        <w:t>预计为700万元。</w:t>
      </w:r>
    </w:p>
    <w:p w14:paraId="20DD8335">
      <w:pPr>
        <w:spacing w:line="580" w:lineRule="exact"/>
        <w:ind w:firstLine="643" w:firstLineChars="200"/>
        <w:rPr>
          <w:rFonts w:ascii="仿宋_GB2312" w:hAnsi="宋体" w:cs="宋体"/>
          <w:sz w:val="32"/>
          <w:szCs w:val="32"/>
        </w:rPr>
      </w:pPr>
      <w:r>
        <w:rPr>
          <w:rFonts w:ascii="仿宋_GB2312" w:hAnsi="宋体" w:cs="宋体"/>
          <w:b/>
          <w:sz w:val="32"/>
          <w:szCs w:val="32"/>
        </w:rPr>
        <w:t>基本预备费：</w:t>
      </w:r>
      <w:r>
        <w:rPr>
          <w:rFonts w:ascii="仿宋_GB2312" w:hAnsi="宋体" w:cs="宋体"/>
          <w:sz w:val="32"/>
          <w:szCs w:val="32"/>
        </w:rPr>
        <w:t>按照</w:t>
      </w:r>
      <w:r>
        <w:rPr>
          <w:rFonts w:hint="eastAsia" w:ascii="仿宋_GB2312" w:hAnsi="宋体" w:cs="宋体"/>
          <w:sz w:val="32"/>
          <w:szCs w:val="32"/>
        </w:rPr>
        <w:t>前述四项投资</w:t>
      </w:r>
      <w:r>
        <w:rPr>
          <w:rFonts w:ascii="仿宋_GB2312" w:hAnsi="宋体" w:cs="宋体"/>
          <w:sz w:val="32"/>
          <w:szCs w:val="32"/>
        </w:rPr>
        <w:t>之和的5%</w:t>
      </w:r>
      <w:r>
        <w:rPr>
          <w:rFonts w:hint="eastAsia" w:ascii="仿宋_GB2312" w:hAnsi="宋体" w:cs="宋体"/>
          <w:sz w:val="32"/>
          <w:szCs w:val="32"/>
        </w:rPr>
        <w:t>左右</w:t>
      </w:r>
      <w:r>
        <w:rPr>
          <w:rFonts w:ascii="仿宋_GB2312" w:hAnsi="宋体" w:cs="宋体"/>
          <w:sz w:val="32"/>
          <w:szCs w:val="32"/>
        </w:rPr>
        <w:t>计提项目基本预备费，则项目基本预备费</w:t>
      </w:r>
      <w:r>
        <w:rPr>
          <w:rFonts w:hint="eastAsia" w:ascii="仿宋_GB2312" w:hAnsi="宋体" w:cs="宋体"/>
          <w:sz w:val="32"/>
          <w:szCs w:val="32"/>
        </w:rPr>
        <w:t>预计</w:t>
      </w:r>
      <w:r>
        <w:rPr>
          <w:rFonts w:ascii="仿宋_GB2312" w:hAnsi="宋体" w:cs="宋体"/>
          <w:sz w:val="32"/>
          <w:szCs w:val="32"/>
        </w:rPr>
        <w:t>为1200万元。</w:t>
      </w:r>
    </w:p>
    <w:p w14:paraId="43FDF375">
      <w:pPr>
        <w:spacing w:line="580" w:lineRule="exact"/>
        <w:ind w:firstLine="643" w:firstLineChars="200"/>
        <w:rPr>
          <w:rFonts w:ascii="仿宋_GB2312" w:hAnsi="宋体" w:cs="宋体"/>
          <w:sz w:val="32"/>
          <w:szCs w:val="32"/>
        </w:rPr>
      </w:pPr>
      <w:r>
        <w:rPr>
          <w:rFonts w:hint="eastAsia" w:ascii="仿宋_GB2312" w:hAnsi="宋体" w:cs="宋体"/>
          <w:b/>
          <w:sz w:val="32"/>
          <w:szCs w:val="32"/>
        </w:rPr>
        <w:t>铺底</w:t>
      </w:r>
      <w:r>
        <w:rPr>
          <w:rFonts w:ascii="仿宋_GB2312" w:hAnsi="宋体" w:cs="宋体"/>
          <w:b/>
          <w:sz w:val="32"/>
          <w:szCs w:val="32"/>
        </w:rPr>
        <w:t>流动资金：</w:t>
      </w:r>
      <w:r>
        <w:rPr>
          <w:rFonts w:hint="eastAsia" w:ascii="仿宋_GB2312" w:hAnsi="宋体" w:cs="宋体"/>
          <w:sz w:val="32"/>
          <w:szCs w:val="32"/>
        </w:rPr>
        <w:t>主要用于项目未来生产运营及其他未预料到的意外支出，以维护资金链的充足状态，预计需</w:t>
      </w:r>
      <w:r>
        <w:rPr>
          <w:rFonts w:ascii="仿宋_GB2312" w:hAnsi="宋体" w:cs="宋体"/>
          <w:sz w:val="32"/>
          <w:szCs w:val="32"/>
        </w:rPr>
        <w:t>1200</w:t>
      </w:r>
      <w:r>
        <w:rPr>
          <w:rFonts w:hint="eastAsia" w:ascii="仿宋_GB2312" w:hAnsi="宋体" w:cs="宋体"/>
          <w:sz w:val="32"/>
          <w:szCs w:val="32"/>
        </w:rPr>
        <w:t>万元。</w:t>
      </w:r>
    </w:p>
    <w:p w14:paraId="62FD277D">
      <w:pPr>
        <w:spacing w:line="580" w:lineRule="exact"/>
        <w:ind w:firstLine="643" w:firstLineChars="200"/>
        <w:rPr>
          <w:rFonts w:ascii="宋体" w:hAnsi="宋体" w:eastAsia="宋体" w:cs="Times New Roman"/>
          <w:b/>
        </w:rPr>
      </w:pPr>
      <w:r>
        <w:rPr>
          <w:rFonts w:ascii="仿宋_GB2312" w:hAnsi="宋体" w:cs="宋体"/>
          <w:b/>
          <w:sz w:val="32"/>
          <w:szCs w:val="32"/>
        </w:rPr>
        <w:t>项目总预期投资为30000万元。</w:t>
      </w:r>
    </w:p>
    <w:p w14:paraId="033D16F2">
      <w:pPr>
        <w:spacing w:line="580" w:lineRule="exact"/>
        <w:jc w:val="center"/>
        <w:rPr>
          <w:rFonts w:ascii="仿宋_GB2312" w:hAnsi="宋体" w:cs="宋体"/>
          <w:b/>
          <w:bCs/>
          <w:szCs w:val="28"/>
        </w:rPr>
      </w:pPr>
      <w:r>
        <w:rPr>
          <w:rFonts w:ascii="仿宋_GB2312" w:hAnsi="宋体" w:cs="宋体"/>
          <w:b/>
          <w:bCs/>
          <w:szCs w:val="28"/>
        </w:rPr>
        <w:t>图表</w:t>
      </w:r>
      <w:r>
        <w:rPr>
          <w:rFonts w:hint="eastAsia" w:ascii="仿宋_GB2312" w:hAnsi="宋体" w:cs="宋体"/>
          <w:b/>
          <w:bCs/>
          <w:szCs w:val="28"/>
        </w:rPr>
        <w:t xml:space="preserve"> </w:t>
      </w:r>
      <w:r>
        <w:rPr>
          <w:rFonts w:ascii="仿宋_GB2312" w:hAnsi="宋体" w:cs="宋体"/>
          <w:b/>
          <w:bCs/>
          <w:szCs w:val="28"/>
        </w:rPr>
        <w:t xml:space="preserve">12  </w:t>
      </w:r>
      <w:r>
        <w:rPr>
          <w:rFonts w:hint="eastAsia" w:ascii="仿宋_GB2312" w:hAnsi="宋体" w:cs="宋体"/>
          <w:b/>
          <w:bCs/>
          <w:szCs w:val="28"/>
        </w:rPr>
        <w:t>项目</w:t>
      </w:r>
      <w:r>
        <w:rPr>
          <w:rFonts w:ascii="仿宋_GB2312" w:hAnsi="宋体" w:cs="宋体"/>
          <w:b/>
          <w:bCs/>
          <w:szCs w:val="28"/>
        </w:rPr>
        <w:t>投资估算</w:t>
      </w:r>
    </w:p>
    <w:tbl>
      <w:tblPr>
        <w:tblStyle w:val="13"/>
        <w:tblW w:w="5000" w:type="pct"/>
        <w:jc w:val="center"/>
        <w:tblBorders>
          <w:top w:val="single" w:color="5B9BD5" w:themeColor="accent1" w:sz="4" w:space="0"/>
          <w:left w:val="single" w:color="5B9BD5" w:themeColor="accent1" w:sz="4" w:space="0"/>
          <w:bottom w:val="single" w:color="5B9BD5" w:themeColor="accent1" w:sz="4" w:space="0"/>
          <w:right w:val="single" w:color="5B9BD5" w:themeColor="accent1" w:sz="4" w:space="0"/>
          <w:insideH w:val="single" w:color="5B9BD5" w:themeColor="accent1" w:sz="4" w:space="0"/>
          <w:insideV w:val="single" w:color="5B9BD5" w:themeColor="accent1" w:sz="4" w:space="0"/>
        </w:tblBorders>
        <w:tblLayout w:type="autofit"/>
        <w:tblCellMar>
          <w:top w:w="0" w:type="dxa"/>
          <w:left w:w="108" w:type="dxa"/>
          <w:bottom w:w="0" w:type="dxa"/>
          <w:right w:w="108" w:type="dxa"/>
        </w:tblCellMar>
      </w:tblPr>
      <w:tblGrid>
        <w:gridCol w:w="4530"/>
        <w:gridCol w:w="4530"/>
      </w:tblGrid>
      <w:tr w14:paraId="0A7E426C">
        <w:tblPrEx>
          <w:tblBorders>
            <w:top w:val="single" w:color="5B9BD5" w:themeColor="accent1" w:sz="4" w:space="0"/>
            <w:left w:val="single" w:color="5B9BD5" w:themeColor="accent1" w:sz="4" w:space="0"/>
            <w:bottom w:val="single" w:color="5B9BD5" w:themeColor="accent1" w:sz="4" w:space="0"/>
            <w:right w:val="single" w:color="5B9BD5" w:themeColor="accent1" w:sz="4" w:space="0"/>
            <w:insideH w:val="single" w:color="5B9BD5" w:themeColor="accent1" w:sz="4" w:space="0"/>
            <w:insideV w:val="single" w:color="5B9BD5" w:themeColor="accent1" w:sz="4" w:space="0"/>
          </w:tblBorders>
          <w:tblCellMar>
            <w:top w:w="0" w:type="dxa"/>
            <w:left w:w="108" w:type="dxa"/>
            <w:bottom w:w="0" w:type="dxa"/>
            <w:right w:w="108" w:type="dxa"/>
          </w:tblCellMar>
        </w:tblPrEx>
        <w:trPr>
          <w:trHeight w:val="567" w:hRule="atLeast"/>
          <w:jc w:val="center"/>
        </w:trPr>
        <w:tc>
          <w:tcPr>
            <w:tcW w:w="2500" w:type="pct"/>
            <w:shd w:val="clear" w:color="auto" w:fill="4472C4" w:themeFill="accent5"/>
            <w:vAlign w:val="center"/>
          </w:tcPr>
          <w:p w14:paraId="4D61DA29">
            <w:pPr>
              <w:spacing w:before="0" w:after="0" w:line="440" w:lineRule="exact"/>
              <w:jc w:val="center"/>
              <w:rPr>
                <w:rFonts w:ascii="黑体" w:hAnsi="黑体" w:eastAsia="黑体" w:cs="宋体"/>
                <w:b/>
                <w:bCs/>
                <w:color w:val="FFFFFF" w:themeColor="background1"/>
                <w:kern w:val="0"/>
                <w:szCs w:val="28"/>
                <w14:textFill>
                  <w14:solidFill>
                    <w14:schemeClr w14:val="bg1"/>
                  </w14:solidFill>
                </w14:textFill>
              </w:rPr>
            </w:pPr>
            <w:r>
              <w:rPr>
                <w:rFonts w:ascii="黑体" w:hAnsi="黑体" w:eastAsia="黑体" w:cs="宋体"/>
                <w:b/>
                <w:bCs/>
                <w:color w:val="FFFFFF" w:themeColor="background1"/>
                <w:kern w:val="0"/>
                <w:szCs w:val="28"/>
                <w14:textFill>
                  <w14:solidFill>
                    <w14:schemeClr w14:val="bg1"/>
                  </w14:solidFill>
                </w14:textFill>
              </w:rPr>
              <w:t>费用内容</w:t>
            </w:r>
          </w:p>
        </w:tc>
        <w:tc>
          <w:tcPr>
            <w:tcW w:w="2500" w:type="pct"/>
            <w:shd w:val="clear" w:color="auto" w:fill="4472C4" w:themeFill="accent5"/>
            <w:vAlign w:val="center"/>
          </w:tcPr>
          <w:p w14:paraId="4DB65E43">
            <w:pPr>
              <w:spacing w:before="0" w:after="0" w:line="440" w:lineRule="exact"/>
              <w:jc w:val="center"/>
              <w:rPr>
                <w:rFonts w:ascii="黑体" w:hAnsi="黑体" w:eastAsia="黑体" w:cs="宋体"/>
                <w:b/>
                <w:bCs/>
                <w:color w:val="FFFFFF" w:themeColor="background1"/>
                <w:kern w:val="0"/>
                <w:szCs w:val="28"/>
                <w14:textFill>
                  <w14:solidFill>
                    <w14:schemeClr w14:val="bg1"/>
                  </w14:solidFill>
                </w14:textFill>
              </w:rPr>
            </w:pPr>
            <w:r>
              <w:rPr>
                <w:rFonts w:ascii="黑体" w:hAnsi="黑体" w:eastAsia="黑体" w:cs="宋体"/>
                <w:b/>
                <w:bCs/>
                <w:color w:val="FFFFFF" w:themeColor="background1"/>
                <w:kern w:val="0"/>
                <w:szCs w:val="28"/>
                <w14:textFill>
                  <w14:solidFill>
                    <w14:schemeClr w14:val="bg1"/>
                  </w14:solidFill>
                </w14:textFill>
              </w:rPr>
              <w:t>金额（万元）</w:t>
            </w:r>
          </w:p>
        </w:tc>
      </w:tr>
      <w:tr w14:paraId="50DDF26E">
        <w:tblPrEx>
          <w:tblBorders>
            <w:top w:val="single" w:color="5B9BD5" w:themeColor="accent1" w:sz="4" w:space="0"/>
            <w:left w:val="single" w:color="5B9BD5" w:themeColor="accent1" w:sz="4" w:space="0"/>
            <w:bottom w:val="single" w:color="5B9BD5" w:themeColor="accent1" w:sz="4" w:space="0"/>
            <w:right w:val="single" w:color="5B9BD5" w:themeColor="accent1" w:sz="4" w:space="0"/>
            <w:insideH w:val="single" w:color="5B9BD5" w:themeColor="accent1" w:sz="4" w:space="0"/>
            <w:insideV w:val="single" w:color="5B9BD5" w:themeColor="accent1" w:sz="4" w:space="0"/>
          </w:tblBorders>
          <w:tblCellMar>
            <w:top w:w="0" w:type="dxa"/>
            <w:left w:w="108" w:type="dxa"/>
            <w:bottom w:w="0" w:type="dxa"/>
            <w:right w:w="108" w:type="dxa"/>
          </w:tblCellMar>
        </w:tblPrEx>
        <w:trPr>
          <w:trHeight w:val="567" w:hRule="atLeast"/>
          <w:jc w:val="center"/>
        </w:trPr>
        <w:tc>
          <w:tcPr>
            <w:tcW w:w="2500" w:type="pct"/>
            <w:vAlign w:val="center"/>
          </w:tcPr>
          <w:p w14:paraId="0E135CD9">
            <w:pPr>
              <w:spacing w:line="440" w:lineRule="exact"/>
              <w:jc w:val="center"/>
              <w:rPr>
                <w:rFonts w:ascii="仿宋_GB2312" w:hAnsi="宋体" w:cs="宋体"/>
                <w:b w:val="0"/>
                <w:bCs w:val="0"/>
                <w:color w:val="000000"/>
                <w:kern w:val="0"/>
                <w:szCs w:val="24"/>
              </w:rPr>
            </w:pPr>
            <w:r>
              <w:rPr>
                <w:rFonts w:hint="eastAsia" w:ascii="仿宋_GB2312" w:hAnsi="宋体" w:cs="宋体"/>
                <w:b w:val="0"/>
                <w:bCs w:val="0"/>
                <w:color w:val="000000"/>
                <w:kern w:val="0"/>
                <w:szCs w:val="24"/>
              </w:rPr>
              <w:t>建安工程费</w:t>
            </w:r>
          </w:p>
        </w:tc>
        <w:tc>
          <w:tcPr>
            <w:tcW w:w="2500" w:type="pct"/>
            <w:vAlign w:val="center"/>
          </w:tcPr>
          <w:p w14:paraId="69F70EC7">
            <w:pPr>
              <w:spacing w:line="440" w:lineRule="exact"/>
              <w:jc w:val="center"/>
              <w:rPr>
                <w:rFonts w:ascii="仿宋_GB2312" w:hAnsi="宋体" w:cs="宋体"/>
                <w:color w:val="000000"/>
                <w:kern w:val="0"/>
                <w:szCs w:val="24"/>
              </w:rPr>
            </w:pPr>
            <w:r>
              <w:rPr>
                <w:rFonts w:ascii="仿宋_GB2312" w:hAnsi="宋体" w:cs="宋体"/>
                <w:color w:val="000000"/>
                <w:kern w:val="0"/>
                <w:szCs w:val="24"/>
              </w:rPr>
              <w:t>12100</w:t>
            </w:r>
          </w:p>
        </w:tc>
      </w:tr>
      <w:tr w14:paraId="59D885AF">
        <w:tblPrEx>
          <w:tblBorders>
            <w:top w:val="single" w:color="5B9BD5" w:themeColor="accent1" w:sz="4" w:space="0"/>
            <w:left w:val="single" w:color="5B9BD5" w:themeColor="accent1" w:sz="4" w:space="0"/>
            <w:bottom w:val="single" w:color="5B9BD5" w:themeColor="accent1" w:sz="4" w:space="0"/>
            <w:right w:val="single" w:color="5B9BD5" w:themeColor="accent1" w:sz="4" w:space="0"/>
            <w:insideH w:val="single" w:color="5B9BD5" w:themeColor="accent1" w:sz="4" w:space="0"/>
            <w:insideV w:val="single" w:color="5B9BD5" w:themeColor="accent1" w:sz="4" w:space="0"/>
          </w:tblBorders>
          <w:tblCellMar>
            <w:top w:w="0" w:type="dxa"/>
            <w:left w:w="108" w:type="dxa"/>
            <w:bottom w:w="0" w:type="dxa"/>
            <w:right w:w="108" w:type="dxa"/>
          </w:tblCellMar>
        </w:tblPrEx>
        <w:trPr>
          <w:trHeight w:val="567" w:hRule="atLeast"/>
          <w:jc w:val="center"/>
        </w:trPr>
        <w:tc>
          <w:tcPr>
            <w:tcW w:w="2500" w:type="pct"/>
            <w:vAlign w:val="center"/>
          </w:tcPr>
          <w:p w14:paraId="67994436">
            <w:pPr>
              <w:spacing w:line="440" w:lineRule="exact"/>
              <w:jc w:val="center"/>
              <w:rPr>
                <w:rFonts w:ascii="仿宋_GB2312" w:hAnsi="宋体" w:cs="宋体"/>
                <w:b w:val="0"/>
                <w:bCs w:val="0"/>
                <w:color w:val="000000"/>
                <w:kern w:val="0"/>
                <w:szCs w:val="24"/>
              </w:rPr>
            </w:pPr>
            <w:r>
              <w:rPr>
                <w:rFonts w:hint="eastAsia" w:ascii="仿宋_GB2312" w:hAnsi="宋体" w:cs="宋体"/>
                <w:b w:val="0"/>
                <w:bCs w:val="0"/>
                <w:color w:val="000000"/>
                <w:kern w:val="0"/>
                <w:szCs w:val="24"/>
              </w:rPr>
              <w:t>设备购置费</w:t>
            </w:r>
          </w:p>
        </w:tc>
        <w:tc>
          <w:tcPr>
            <w:tcW w:w="2500" w:type="pct"/>
            <w:vAlign w:val="center"/>
          </w:tcPr>
          <w:p w14:paraId="77CA61D9">
            <w:pPr>
              <w:spacing w:line="440" w:lineRule="exact"/>
              <w:jc w:val="center"/>
              <w:rPr>
                <w:rFonts w:ascii="仿宋_GB2312" w:hAnsi="宋体" w:cs="宋体"/>
                <w:color w:val="000000"/>
                <w:kern w:val="0"/>
                <w:szCs w:val="24"/>
              </w:rPr>
            </w:pPr>
            <w:r>
              <w:rPr>
                <w:rFonts w:ascii="仿宋_GB2312" w:hAnsi="宋体" w:cs="宋体"/>
                <w:color w:val="000000"/>
                <w:kern w:val="0"/>
                <w:szCs w:val="24"/>
              </w:rPr>
              <w:t>13000</w:t>
            </w:r>
          </w:p>
        </w:tc>
      </w:tr>
      <w:tr w14:paraId="7EBD9669">
        <w:tblPrEx>
          <w:tblBorders>
            <w:top w:val="single" w:color="5B9BD5" w:themeColor="accent1" w:sz="4" w:space="0"/>
            <w:left w:val="single" w:color="5B9BD5" w:themeColor="accent1" w:sz="4" w:space="0"/>
            <w:bottom w:val="single" w:color="5B9BD5" w:themeColor="accent1" w:sz="4" w:space="0"/>
            <w:right w:val="single" w:color="5B9BD5" w:themeColor="accent1" w:sz="4" w:space="0"/>
            <w:insideH w:val="single" w:color="5B9BD5" w:themeColor="accent1" w:sz="4" w:space="0"/>
            <w:insideV w:val="single" w:color="5B9BD5" w:themeColor="accent1" w:sz="4" w:space="0"/>
          </w:tblBorders>
          <w:tblCellMar>
            <w:top w:w="0" w:type="dxa"/>
            <w:left w:w="108" w:type="dxa"/>
            <w:bottom w:w="0" w:type="dxa"/>
            <w:right w:w="108" w:type="dxa"/>
          </w:tblCellMar>
        </w:tblPrEx>
        <w:trPr>
          <w:trHeight w:val="567" w:hRule="atLeast"/>
          <w:jc w:val="center"/>
        </w:trPr>
        <w:tc>
          <w:tcPr>
            <w:tcW w:w="2500" w:type="pct"/>
            <w:vAlign w:val="center"/>
          </w:tcPr>
          <w:p w14:paraId="4CB309CF">
            <w:pPr>
              <w:spacing w:line="440" w:lineRule="exact"/>
              <w:jc w:val="center"/>
              <w:rPr>
                <w:rFonts w:ascii="仿宋_GB2312" w:hAnsi="宋体" w:cs="宋体"/>
                <w:b w:val="0"/>
                <w:bCs w:val="0"/>
                <w:color w:val="000000"/>
                <w:kern w:val="0"/>
                <w:szCs w:val="24"/>
              </w:rPr>
            </w:pPr>
            <w:r>
              <w:rPr>
                <w:rFonts w:hint="eastAsia" w:ascii="仿宋_GB2312" w:hAnsi="宋体" w:cs="宋体"/>
                <w:b w:val="0"/>
                <w:bCs w:val="0"/>
                <w:color w:val="000000"/>
                <w:kern w:val="0"/>
                <w:szCs w:val="24"/>
              </w:rPr>
              <w:t>土地成本</w:t>
            </w:r>
          </w:p>
        </w:tc>
        <w:tc>
          <w:tcPr>
            <w:tcW w:w="2500" w:type="pct"/>
            <w:vAlign w:val="center"/>
          </w:tcPr>
          <w:p w14:paraId="0FEC5930">
            <w:pPr>
              <w:spacing w:line="440" w:lineRule="exact"/>
              <w:jc w:val="center"/>
              <w:rPr>
                <w:rFonts w:ascii="仿宋_GB2312" w:hAnsi="宋体" w:cs="宋体"/>
                <w:color w:val="000000"/>
                <w:kern w:val="0"/>
                <w:szCs w:val="24"/>
              </w:rPr>
            </w:pPr>
            <w:r>
              <w:rPr>
                <w:rFonts w:ascii="仿宋_GB2312" w:hAnsi="宋体" w:cs="宋体"/>
                <w:color w:val="000000"/>
                <w:kern w:val="0"/>
                <w:szCs w:val="24"/>
              </w:rPr>
              <w:t>1800</w:t>
            </w:r>
          </w:p>
        </w:tc>
      </w:tr>
      <w:tr w14:paraId="6C7E6844">
        <w:tblPrEx>
          <w:tblBorders>
            <w:top w:val="single" w:color="5B9BD5" w:themeColor="accent1" w:sz="4" w:space="0"/>
            <w:left w:val="single" w:color="5B9BD5" w:themeColor="accent1" w:sz="4" w:space="0"/>
            <w:bottom w:val="single" w:color="5B9BD5" w:themeColor="accent1" w:sz="4" w:space="0"/>
            <w:right w:val="single" w:color="5B9BD5" w:themeColor="accent1" w:sz="4" w:space="0"/>
            <w:insideH w:val="single" w:color="5B9BD5" w:themeColor="accent1" w:sz="4" w:space="0"/>
            <w:insideV w:val="single" w:color="5B9BD5" w:themeColor="accent1" w:sz="4" w:space="0"/>
          </w:tblBorders>
          <w:tblCellMar>
            <w:top w:w="0" w:type="dxa"/>
            <w:left w:w="108" w:type="dxa"/>
            <w:bottom w:w="0" w:type="dxa"/>
            <w:right w:w="108" w:type="dxa"/>
          </w:tblCellMar>
        </w:tblPrEx>
        <w:trPr>
          <w:trHeight w:val="567" w:hRule="atLeast"/>
          <w:jc w:val="center"/>
        </w:trPr>
        <w:tc>
          <w:tcPr>
            <w:tcW w:w="2500" w:type="pct"/>
            <w:vAlign w:val="center"/>
          </w:tcPr>
          <w:p w14:paraId="3C4D6AB9">
            <w:pPr>
              <w:spacing w:line="440" w:lineRule="exact"/>
              <w:jc w:val="center"/>
              <w:rPr>
                <w:rFonts w:ascii="仿宋_GB2312" w:hAnsi="宋体" w:cs="宋体"/>
                <w:b w:val="0"/>
                <w:bCs w:val="0"/>
                <w:color w:val="000000"/>
                <w:kern w:val="0"/>
                <w:szCs w:val="24"/>
              </w:rPr>
            </w:pPr>
            <w:r>
              <w:rPr>
                <w:rFonts w:hint="eastAsia" w:ascii="仿宋_GB2312" w:hAnsi="宋体" w:cs="宋体"/>
                <w:b w:val="0"/>
                <w:bCs w:val="0"/>
                <w:color w:val="000000"/>
                <w:kern w:val="0"/>
                <w:szCs w:val="24"/>
              </w:rPr>
              <w:t>与项目建设有关的费用</w:t>
            </w:r>
          </w:p>
        </w:tc>
        <w:tc>
          <w:tcPr>
            <w:tcW w:w="2500" w:type="pct"/>
            <w:vAlign w:val="center"/>
          </w:tcPr>
          <w:p w14:paraId="0A2ED2A7">
            <w:pPr>
              <w:spacing w:line="440" w:lineRule="exact"/>
              <w:jc w:val="center"/>
              <w:rPr>
                <w:rFonts w:ascii="仿宋_GB2312" w:hAnsi="宋体" w:cs="宋体"/>
                <w:color w:val="000000"/>
                <w:kern w:val="0"/>
                <w:szCs w:val="24"/>
              </w:rPr>
            </w:pPr>
            <w:r>
              <w:rPr>
                <w:rFonts w:ascii="仿宋_GB2312" w:hAnsi="宋体" w:cs="宋体"/>
                <w:color w:val="000000"/>
                <w:kern w:val="0"/>
                <w:szCs w:val="24"/>
              </w:rPr>
              <w:t>700</w:t>
            </w:r>
          </w:p>
        </w:tc>
      </w:tr>
      <w:tr w14:paraId="7D9254E0">
        <w:tblPrEx>
          <w:tblBorders>
            <w:top w:val="single" w:color="5B9BD5" w:themeColor="accent1" w:sz="4" w:space="0"/>
            <w:left w:val="single" w:color="5B9BD5" w:themeColor="accent1" w:sz="4" w:space="0"/>
            <w:bottom w:val="single" w:color="5B9BD5" w:themeColor="accent1" w:sz="4" w:space="0"/>
            <w:right w:val="single" w:color="5B9BD5" w:themeColor="accent1" w:sz="4" w:space="0"/>
            <w:insideH w:val="single" w:color="5B9BD5" w:themeColor="accent1" w:sz="4" w:space="0"/>
            <w:insideV w:val="single" w:color="5B9BD5" w:themeColor="accent1" w:sz="4" w:space="0"/>
          </w:tblBorders>
          <w:tblCellMar>
            <w:top w:w="0" w:type="dxa"/>
            <w:left w:w="108" w:type="dxa"/>
            <w:bottom w:w="0" w:type="dxa"/>
            <w:right w:w="108" w:type="dxa"/>
          </w:tblCellMar>
        </w:tblPrEx>
        <w:trPr>
          <w:trHeight w:val="567" w:hRule="atLeast"/>
          <w:jc w:val="center"/>
        </w:trPr>
        <w:tc>
          <w:tcPr>
            <w:tcW w:w="2500" w:type="pct"/>
            <w:vAlign w:val="center"/>
          </w:tcPr>
          <w:p w14:paraId="75302A19">
            <w:pPr>
              <w:spacing w:line="440" w:lineRule="exact"/>
              <w:jc w:val="center"/>
              <w:rPr>
                <w:rFonts w:ascii="仿宋_GB2312" w:hAnsi="宋体" w:cs="宋体"/>
                <w:b w:val="0"/>
                <w:bCs w:val="0"/>
                <w:color w:val="000000"/>
                <w:kern w:val="0"/>
                <w:szCs w:val="24"/>
              </w:rPr>
            </w:pPr>
            <w:r>
              <w:rPr>
                <w:rFonts w:ascii="仿宋_GB2312" w:hAnsi="宋体" w:cs="宋体"/>
                <w:b w:val="0"/>
                <w:bCs w:val="0"/>
                <w:color w:val="000000"/>
                <w:kern w:val="0"/>
                <w:szCs w:val="24"/>
              </w:rPr>
              <w:t>基本预备费</w:t>
            </w:r>
          </w:p>
        </w:tc>
        <w:tc>
          <w:tcPr>
            <w:tcW w:w="2500" w:type="pct"/>
            <w:vAlign w:val="center"/>
          </w:tcPr>
          <w:p w14:paraId="7DEA6BB2">
            <w:pPr>
              <w:spacing w:line="440" w:lineRule="exact"/>
              <w:jc w:val="center"/>
              <w:rPr>
                <w:rFonts w:ascii="仿宋_GB2312" w:hAnsi="宋体" w:cs="宋体"/>
                <w:color w:val="000000"/>
                <w:kern w:val="0"/>
                <w:szCs w:val="24"/>
              </w:rPr>
            </w:pPr>
            <w:r>
              <w:rPr>
                <w:rFonts w:ascii="仿宋_GB2312" w:hAnsi="宋体" w:cs="宋体"/>
                <w:color w:val="000000"/>
                <w:kern w:val="0"/>
                <w:szCs w:val="24"/>
              </w:rPr>
              <w:t>1200</w:t>
            </w:r>
          </w:p>
        </w:tc>
      </w:tr>
      <w:tr w14:paraId="095A046C">
        <w:tblPrEx>
          <w:tblBorders>
            <w:top w:val="single" w:color="5B9BD5" w:themeColor="accent1" w:sz="4" w:space="0"/>
            <w:left w:val="single" w:color="5B9BD5" w:themeColor="accent1" w:sz="4" w:space="0"/>
            <w:bottom w:val="single" w:color="5B9BD5" w:themeColor="accent1" w:sz="4" w:space="0"/>
            <w:right w:val="single" w:color="5B9BD5" w:themeColor="accent1" w:sz="4" w:space="0"/>
            <w:insideH w:val="single" w:color="5B9BD5" w:themeColor="accent1" w:sz="4" w:space="0"/>
            <w:insideV w:val="single" w:color="5B9BD5" w:themeColor="accent1" w:sz="4" w:space="0"/>
          </w:tblBorders>
          <w:tblCellMar>
            <w:top w:w="0" w:type="dxa"/>
            <w:left w:w="108" w:type="dxa"/>
            <w:bottom w:w="0" w:type="dxa"/>
            <w:right w:w="108" w:type="dxa"/>
          </w:tblCellMar>
        </w:tblPrEx>
        <w:trPr>
          <w:trHeight w:val="567" w:hRule="atLeast"/>
          <w:jc w:val="center"/>
        </w:trPr>
        <w:tc>
          <w:tcPr>
            <w:tcW w:w="2500" w:type="pct"/>
            <w:vAlign w:val="center"/>
          </w:tcPr>
          <w:p w14:paraId="1F8218CB">
            <w:pPr>
              <w:spacing w:line="440" w:lineRule="exact"/>
              <w:jc w:val="center"/>
              <w:rPr>
                <w:rFonts w:ascii="仿宋_GB2312" w:hAnsi="宋体" w:cs="宋体"/>
                <w:b w:val="0"/>
                <w:bCs w:val="0"/>
                <w:color w:val="000000"/>
                <w:kern w:val="0"/>
                <w:szCs w:val="24"/>
              </w:rPr>
            </w:pPr>
            <w:r>
              <w:rPr>
                <w:rFonts w:hint="eastAsia" w:ascii="仿宋_GB2312" w:hAnsi="宋体" w:cs="宋体"/>
                <w:b w:val="0"/>
                <w:bCs w:val="0"/>
                <w:color w:val="000000"/>
                <w:kern w:val="0"/>
                <w:szCs w:val="24"/>
              </w:rPr>
              <w:t>铺底</w:t>
            </w:r>
            <w:r>
              <w:rPr>
                <w:rFonts w:ascii="仿宋_GB2312" w:hAnsi="宋体" w:cs="宋体"/>
                <w:b w:val="0"/>
                <w:bCs w:val="0"/>
                <w:color w:val="000000"/>
                <w:kern w:val="0"/>
                <w:szCs w:val="24"/>
              </w:rPr>
              <w:t>流动资金</w:t>
            </w:r>
          </w:p>
        </w:tc>
        <w:tc>
          <w:tcPr>
            <w:tcW w:w="2500" w:type="pct"/>
            <w:vAlign w:val="center"/>
          </w:tcPr>
          <w:p w14:paraId="6D7B7B09">
            <w:pPr>
              <w:spacing w:line="440" w:lineRule="exact"/>
              <w:jc w:val="center"/>
              <w:rPr>
                <w:rFonts w:ascii="仿宋_GB2312" w:hAnsi="宋体" w:cs="宋体"/>
                <w:color w:val="000000"/>
                <w:kern w:val="0"/>
                <w:szCs w:val="24"/>
              </w:rPr>
            </w:pPr>
            <w:r>
              <w:rPr>
                <w:rFonts w:ascii="仿宋_GB2312" w:hAnsi="宋体" w:cs="宋体"/>
                <w:color w:val="000000"/>
                <w:kern w:val="0"/>
                <w:szCs w:val="24"/>
              </w:rPr>
              <w:t>1200</w:t>
            </w:r>
          </w:p>
        </w:tc>
      </w:tr>
      <w:tr w14:paraId="192E87F1">
        <w:tblPrEx>
          <w:tblBorders>
            <w:top w:val="single" w:color="5B9BD5" w:themeColor="accent1" w:sz="4" w:space="0"/>
            <w:left w:val="single" w:color="5B9BD5" w:themeColor="accent1" w:sz="4" w:space="0"/>
            <w:bottom w:val="single" w:color="5B9BD5" w:themeColor="accent1" w:sz="4" w:space="0"/>
            <w:right w:val="single" w:color="5B9BD5" w:themeColor="accent1" w:sz="4" w:space="0"/>
            <w:insideH w:val="single" w:color="5B9BD5" w:themeColor="accent1" w:sz="4" w:space="0"/>
            <w:insideV w:val="single" w:color="5B9BD5" w:themeColor="accent1" w:sz="4" w:space="0"/>
          </w:tblBorders>
          <w:tblCellMar>
            <w:top w:w="0" w:type="dxa"/>
            <w:left w:w="108" w:type="dxa"/>
            <w:bottom w:w="0" w:type="dxa"/>
            <w:right w:w="108" w:type="dxa"/>
          </w:tblCellMar>
        </w:tblPrEx>
        <w:trPr>
          <w:trHeight w:val="567" w:hRule="atLeast"/>
          <w:jc w:val="center"/>
        </w:trPr>
        <w:tc>
          <w:tcPr>
            <w:tcW w:w="2500" w:type="pct"/>
            <w:vAlign w:val="center"/>
          </w:tcPr>
          <w:p w14:paraId="094177C5">
            <w:pPr>
              <w:spacing w:line="440" w:lineRule="exact"/>
              <w:jc w:val="center"/>
              <w:rPr>
                <w:rFonts w:ascii="仿宋_GB2312" w:hAnsi="宋体" w:cs="宋体"/>
                <w:b/>
                <w:bCs/>
                <w:color w:val="000000"/>
                <w:kern w:val="0"/>
                <w:szCs w:val="24"/>
              </w:rPr>
            </w:pPr>
            <w:r>
              <w:rPr>
                <w:rFonts w:ascii="仿宋_GB2312" w:hAnsi="宋体" w:cs="宋体"/>
                <w:b/>
                <w:bCs/>
                <w:color w:val="000000"/>
                <w:kern w:val="0"/>
                <w:szCs w:val="24"/>
              </w:rPr>
              <w:t>总计</w:t>
            </w:r>
          </w:p>
        </w:tc>
        <w:tc>
          <w:tcPr>
            <w:tcW w:w="2500" w:type="pct"/>
            <w:vAlign w:val="center"/>
          </w:tcPr>
          <w:p w14:paraId="385B9A88">
            <w:pPr>
              <w:spacing w:line="440" w:lineRule="exact"/>
              <w:jc w:val="center"/>
              <w:rPr>
                <w:rFonts w:ascii="仿宋_GB2312" w:hAnsi="宋体" w:cs="宋体"/>
                <w:b/>
                <w:color w:val="000000"/>
                <w:kern w:val="0"/>
                <w:szCs w:val="24"/>
              </w:rPr>
            </w:pPr>
            <w:r>
              <w:rPr>
                <w:rFonts w:ascii="仿宋_GB2312" w:hAnsi="宋体" w:cs="宋体"/>
                <w:b/>
                <w:color w:val="000000"/>
                <w:kern w:val="0"/>
                <w:szCs w:val="24"/>
              </w:rPr>
              <w:t>30000</w:t>
            </w:r>
          </w:p>
        </w:tc>
      </w:tr>
    </w:tbl>
    <w:p w14:paraId="0113AEBD">
      <w:pPr>
        <w:pStyle w:val="3"/>
        <w:spacing w:before="0" w:after="0" w:line="580" w:lineRule="exact"/>
        <w:ind w:firstLine="643" w:firstLineChars="200"/>
        <w:rPr>
          <w:rFonts w:ascii="黑体" w:hAnsi="黑体" w:eastAsia="黑体" w:cs="宋体"/>
          <w:color w:val="000000" w:themeColor="text1"/>
          <w:sz w:val="32"/>
          <w14:textFill>
            <w14:solidFill>
              <w14:schemeClr w14:val="tx1"/>
            </w14:solidFill>
          </w14:textFill>
        </w:rPr>
      </w:pPr>
      <w:bookmarkStart w:id="49" w:name="_Toc76718414"/>
      <w:bookmarkStart w:id="50" w:name="_Toc78208238"/>
      <w:r>
        <w:rPr>
          <w:rFonts w:ascii="黑体" w:hAnsi="黑体" w:eastAsia="黑体" w:cs="宋体"/>
          <w:color w:val="000000" w:themeColor="text1"/>
          <w:sz w:val="32"/>
          <w14:textFill>
            <w14:solidFill>
              <w14:schemeClr w14:val="tx1"/>
            </w14:solidFill>
          </w14:textFill>
        </w:rPr>
        <w:t>二、项目效益分析</w:t>
      </w:r>
      <w:bookmarkEnd w:id="49"/>
      <w:bookmarkEnd w:id="50"/>
    </w:p>
    <w:p w14:paraId="3E03A90B">
      <w:pPr>
        <w:spacing w:line="580" w:lineRule="exact"/>
        <w:ind w:firstLine="640" w:firstLineChars="200"/>
        <w:rPr>
          <w:rFonts w:ascii="仿宋_GB2312" w:hAnsi="宋体" w:cs="宋体"/>
          <w:sz w:val="32"/>
          <w:szCs w:val="32"/>
        </w:rPr>
      </w:pPr>
      <w:r>
        <w:rPr>
          <w:rFonts w:hint="eastAsia" w:ascii="仿宋_GB2312" w:hAnsi="宋体" w:cs="宋体"/>
          <w:sz w:val="32"/>
          <w:szCs w:val="32"/>
        </w:rPr>
        <w:t>1、经营收入：本项目达产后，将形成年产</w:t>
      </w:r>
      <w:r>
        <w:rPr>
          <w:rFonts w:ascii="仿宋_GB2312" w:hAnsi="宋体" w:cs="宋体"/>
          <w:sz w:val="32"/>
          <w:szCs w:val="32"/>
        </w:rPr>
        <w:t>5</w:t>
      </w:r>
      <w:r>
        <w:rPr>
          <w:rFonts w:hint="eastAsia" w:ascii="仿宋_GB2312" w:hAnsi="宋体" w:cs="宋体"/>
          <w:sz w:val="32"/>
          <w:szCs w:val="32"/>
        </w:rPr>
        <w:t>万台阀、</w:t>
      </w:r>
      <w:r>
        <w:rPr>
          <w:rFonts w:ascii="仿宋_GB2312" w:hAnsi="宋体" w:cs="宋体"/>
          <w:sz w:val="32"/>
          <w:szCs w:val="32"/>
        </w:rPr>
        <w:t>4</w:t>
      </w:r>
      <w:r>
        <w:rPr>
          <w:rFonts w:hint="eastAsia" w:ascii="仿宋_GB2312" w:hAnsi="宋体" w:cs="宋体"/>
          <w:sz w:val="32"/>
          <w:szCs w:val="32"/>
        </w:rPr>
        <w:t>万台泵。预计项目投产后第一年和第二年运营率分别为6</w:t>
      </w:r>
      <w:r>
        <w:rPr>
          <w:rFonts w:ascii="仿宋_GB2312" w:hAnsi="宋体" w:cs="宋体"/>
          <w:sz w:val="32"/>
          <w:szCs w:val="32"/>
        </w:rPr>
        <w:t>0%</w:t>
      </w:r>
      <w:r>
        <w:rPr>
          <w:rFonts w:hint="eastAsia" w:ascii="仿宋_GB2312" w:hAnsi="宋体" w:cs="宋体"/>
          <w:sz w:val="32"/>
          <w:szCs w:val="32"/>
        </w:rPr>
        <w:t>、8</w:t>
      </w:r>
      <w:r>
        <w:rPr>
          <w:rFonts w:ascii="仿宋_GB2312" w:hAnsi="宋体" w:cs="宋体"/>
          <w:sz w:val="32"/>
          <w:szCs w:val="32"/>
        </w:rPr>
        <w:t>0%</w:t>
      </w:r>
      <w:r>
        <w:rPr>
          <w:rFonts w:hint="eastAsia" w:ascii="仿宋_GB2312" w:hAnsi="宋体" w:cs="宋体"/>
          <w:sz w:val="32"/>
          <w:szCs w:val="32"/>
        </w:rPr>
        <w:t>，第三年开始达产，达产年项目年营业收入为</w:t>
      </w:r>
      <w:r>
        <w:rPr>
          <w:rFonts w:ascii="仿宋_GB2312" w:hAnsi="宋体" w:cs="宋体"/>
          <w:sz w:val="32"/>
          <w:szCs w:val="32"/>
        </w:rPr>
        <w:t>4.4</w:t>
      </w:r>
      <w:r>
        <w:rPr>
          <w:rFonts w:hint="eastAsia" w:ascii="仿宋_GB2312" w:hAnsi="宋体" w:cs="宋体"/>
          <w:sz w:val="32"/>
          <w:szCs w:val="32"/>
        </w:rPr>
        <w:t>亿元。</w:t>
      </w:r>
    </w:p>
    <w:p w14:paraId="6912BAF4">
      <w:pPr>
        <w:spacing w:line="580" w:lineRule="exact"/>
        <w:ind w:firstLine="640" w:firstLineChars="200"/>
        <w:rPr>
          <w:rFonts w:ascii="仿宋_GB2312" w:hAnsi="宋体" w:cs="宋体"/>
          <w:sz w:val="32"/>
          <w:szCs w:val="32"/>
        </w:rPr>
      </w:pPr>
      <w:r>
        <w:rPr>
          <w:rFonts w:ascii="仿宋_GB2312" w:hAnsi="宋体" w:cs="宋体"/>
          <w:sz w:val="32"/>
          <w:szCs w:val="32"/>
        </w:rPr>
        <w:t>2</w:t>
      </w:r>
      <w:r>
        <w:rPr>
          <w:rFonts w:hint="eastAsia" w:ascii="仿宋_GB2312" w:hAnsi="宋体" w:cs="宋体"/>
          <w:sz w:val="32"/>
          <w:szCs w:val="32"/>
        </w:rPr>
        <w:t>、主营业务成本：主要包括原材料、辅料的耗费；生产人员工资；机器设备、生产厂房的折旧以及燃料动力费等，参考市场上同类产品的经营情况，综合按照营业收入的</w:t>
      </w:r>
      <w:r>
        <w:rPr>
          <w:rFonts w:ascii="仿宋_GB2312" w:hAnsi="宋体" w:cs="宋体"/>
          <w:sz w:val="32"/>
          <w:szCs w:val="32"/>
        </w:rPr>
        <w:t>78%</w:t>
      </w:r>
      <w:r>
        <w:rPr>
          <w:rFonts w:hint="eastAsia" w:ascii="仿宋_GB2312" w:hAnsi="宋体" w:cs="宋体"/>
          <w:sz w:val="32"/>
          <w:szCs w:val="32"/>
        </w:rPr>
        <w:t>计算。</w:t>
      </w:r>
    </w:p>
    <w:p w14:paraId="46F1442B">
      <w:pPr>
        <w:spacing w:line="580" w:lineRule="exact"/>
        <w:ind w:firstLine="640" w:firstLineChars="200"/>
        <w:rPr>
          <w:rFonts w:ascii="仿宋_GB2312" w:hAnsi="宋体" w:cs="宋体"/>
          <w:sz w:val="32"/>
          <w:szCs w:val="32"/>
        </w:rPr>
      </w:pPr>
      <w:r>
        <w:rPr>
          <w:rFonts w:hint="eastAsia" w:ascii="仿宋_GB2312" w:hAnsi="宋体" w:cs="宋体"/>
          <w:sz w:val="32"/>
          <w:szCs w:val="32"/>
        </w:rPr>
        <w:t>3、期间费用：主要包括销售费用、管理费用和研发费用。</w:t>
      </w:r>
    </w:p>
    <w:p w14:paraId="6F0760E0">
      <w:pPr>
        <w:spacing w:line="580" w:lineRule="exact"/>
        <w:ind w:firstLine="640" w:firstLineChars="200"/>
        <w:rPr>
          <w:rFonts w:ascii="仿宋_GB2312" w:hAnsi="宋体" w:cs="宋体"/>
          <w:sz w:val="32"/>
          <w:szCs w:val="32"/>
        </w:rPr>
      </w:pPr>
      <w:r>
        <w:rPr>
          <w:rFonts w:hint="eastAsia" w:ascii="仿宋_GB2312" w:hAnsi="宋体" w:cs="宋体"/>
          <w:sz w:val="32"/>
          <w:szCs w:val="32"/>
        </w:rPr>
        <w:t>销售费用主要包括职工薪酬、宣传推广费以及其他与销售活动相关的经费，结合行业基本情况，销售费用按照营业收入的</w:t>
      </w:r>
      <w:r>
        <w:rPr>
          <w:rFonts w:ascii="仿宋_GB2312" w:hAnsi="宋体" w:cs="宋体"/>
          <w:sz w:val="32"/>
          <w:szCs w:val="32"/>
        </w:rPr>
        <w:t>3</w:t>
      </w:r>
      <w:r>
        <w:rPr>
          <w:rFonts w:hint="eastAsia" w:ascii="仿宋_GB2312" w:hAnsi="宋体" w:cs="宋体"/>
          <w:sz w:val="32"/>
          <w:szCs w:val="32"/>
        </w:rPr>
        <w:t>%左右计提。</w:t>
      </w:r>
    </w:p>
    <w:p w14:paraId="1E601BED">
      <w:pPr>
        <w:spacing w:line="580" w:lineRule="exact"/>
        <w:ind w:firstLine="640" w:firstLineChars="200"/>
        <w:rPr>
          <w:rFonts w:ascii="仿宋_GB2312" w:hAnsi="宋体" w:cs="宋体"/>
          <w:sz w:val="32"/>
          <w:szCs w:val="32"/>
        </w:rPr>
      </w:pPr>
      <w:r>
        <w:rPr>
          <w:rFonts w:hint="eastAsia" w:ascii="仿宋_GB2312" w:hAnsi="宋体" w:cs="宋体"/>
          <w:sz w:val="32"/>
          <w:szCs w:val="32"/>
        </w:rPr>
        <w:t>管理费用主要包括职工薪酬、办公费、差旅费以及其他管理费。结合行业基本情况，管理费按照营业收入的</w:t>
      </w:r>
      <w:r>
        <w:rPr>
          <w:rFonts w:ascii="仿宋_GB2312" w:hAnsi="宋体" w:cs="宋体"/>
          <w:sz w:val="32"/>
          <w:szCs w:val="32"/>
        </w:rPr>
        <w:t>2</w:t>
      </w:r>
      <w:r>
        <w:rPr>
          <w:rFonts w:hint="eastAsia" w:ascii="仿宋_GB2312" w:hAnsi="宋体" w:cs="宋体"/>
          <w:sz w:val="32"/>
          <w:szCs w:val="32"/>
        </w:rPr>
        <w:t>%左右计提。</w:t>
      </w:r>
    </w:p>
    <w:p w14:paraId="58AF8AC9">
      <w:pPr>
        <w:spacing w:line="580" w:lineRule="exact"/>
        <w:ind w:firstLine="640" w:firstLineChars="200"/>
        <w:rPr>
          <w:rFonts w:ascii="宋体" w:hAnsi="宋体" w:eastAsia="宋体" w:cs="Times New Roman"/>
          <w:color w:val="000000" w:themeColor="text1"/>
          <w14:textFill>
            <w14:solidFill>
              <w14:schemeClr w14:val="tx1"/>
            </w14:solidFill>
          </w14:textFill>
        </w:rPr>
      </w:pPr>
      <w:r>
        <w:rPr>
          <w:rFonts w:hint="eastAsia" w:ascii="仿宋_GB2312" w:hAnsi="宋体" w:cs="宋体"/>
          <w:sz w:val="32"/>
          <w:szCs w:val="32"/>
        </w:rPr>
        <w:t>研发费用主要包括研发人员工资和福利费、物料消耗及其他研发费，结合行业基本情况，研发费用按照营业收入的</w:t>
      </w:r>
      <w:r>
        <w:rPr>
          <w:rFonts w:ascii="仿宋_GB2312" w:hAnsi="宋体" w:cs="宋体"/>
          <w:sz w:val="32"/>
          <w:szCs w:val="32"/>
        </w:rPr>
        <w:t>1</w:t>
      </w:r>
      <w:r>
        <w:rPr>
          <w:rFonts w:hint="eastAsia" w:ascii="仿宋_GB2312" w:hAnsi="宋体" w:cs="宋体"/>
          <w:sz w:val="32"/>
          <w:szCs w:val="32"/>
        </w:rPr>
        <w:t>%左右计提。</w:t>
      </w:r>
    </w:p>
    <w:p w14:paraId="09E6A29A">
      <w:pPr>
        <w:spacing w:line="580" w:lineRule="exact"/>
        <w:jc w:val="center"/>
        <w:rPr>
          <w:rFonts w:ascii="仿宋_GB2312" w:hAnsi="宋体" w:cs="宋体"/>
          <w:b/>
          <w:bCs/>
          <w:szCs w:val="28"/>
        </w:rPr>
      </w:pPr>
      <w:r>
        <w:rPr>
          <w:rFonts w:ascii="仿宋_GB2312" w:hAnsi="宋体" w:cs="宋体"/>
          <w:b/>
          <w:bCs/>
          <w:szCs w:val="28"/>
        </w:rPr>
        <w:t>图表</w:t>
      </w:r>
      <w:r>
        <w:rPr>
          <w:rFonts w:hint="eastAsia" w:ascii="仿宋_GB2312" w:hAnsi="宋体" w:cs="宋体"/>
          <w:b/>
          <w:bCs/>
          <w:szCs w:val="28"/>
        </w:rPr>
        <w:t xml:space="preserve"> </w:t>
      </w:r>
      <w:r>
        <w:rPr>
          <w:rFonts w:ascii="仿宋_GB2312" w:hAnsi="宋体" w:cs="宋体"/>
          <w:b/>
          <w:bCs/>
          <w:szCs w:val="28"/>
        </w:rPr>
        <w:t xml:space="preserve">13  </w:t>
      </w:r>
      <w:r>
        <w:rPr>
          <w:rFonts w:hint="eastAsia" w:ascii="仿宋_GB2312" w:hAnsi="宋体" w:cs="宋体"/>
          <w:b/>
          <w:bCs/>
          <w:szCs w:val="28"/>
        </w:rPr>
        <w:t>项目经营收入、成本、利润</w:t>
      </w:r>
      <w:r>
        <w:rPr>
          <w:rFonts w:ascii="仿宋_GB2312" w:hAnsi="宋体" w:cs="宋体"/>
          <w:b/>
          <w:bCs/>
          <w:szCs w:val="28"/>
        </w:rPr>
        <w:t>估算</w:t>
      </w:r>
    </w:p>
    <w:tbl>
      <w:tblPr>
        <w:tblStyle w:val="12"/>
        <w:tblW w:w="5000" w:type="pct"/>
        <w:jc w:val="center"/>
        <w:tblBorders>
          <w:top w:val="single" w:color="5B9BD5" w:themeColor="accent1" w:sz="4" w:space="0"/>
          <w:left w:val="single" w:color="5B9BD5" w:themeColor="accent1" w:sz="4" w:space="0"/>
          <w:bottom w:val="single" w:color="5B9BD5" w:themeColor="accent1" w:sz="4" w:space="0"/>
          <w:right w:val="single" w:color="5B9BD5" w:themeColor="accent1" w:sz="4" w:space="0"/>
          <w:insideH w:val="single" w:color="5B9BD5" w:themeColor="accent1" w:sz="4" w:space="0"/>
          <w:insideV w:val="single" w:color="5B9BD5" w:themeColor="accent1" w:sz="4" w:space="0"/>
        </w:tblBorders>
        <w:tblLayout w:type="autofit"/>
        <w:tblCellMar>
          <w:top w:w="0" w:type="dxa"/>
          <w:left w:w="108" w:type="dxa"/>
          <w:bottom w:w="0" w:type="dxa"/>
          <w:right w:w="108" w:type="dxa"/>
        </w:tblCellMar>
      </w:tblPr>
      <w:tblGrid>
        <w:gridCol w:w="3020"/>
        <w:gridCol w:w="3021"/>
        <w:gridCol w:w="3019"/>
      </w:tblGrid>
      <w:tr w14:paraId="110F7025">
        <w:tblPrEx>
          <w:tblBorders>
            <w:top w:val="single" w:color="5B9BD5" w:themeColor="accent1" w:sz="4" w:space="0"/>
            <w:left w:val="single" w:color="5B9BD5" w:themeColor="accent1" w:sz="4" w:space="0"/>
            <w:bottom w:val="single" w:color="5B9BD5" w:themeColor="accent1" w:sz="4" w:space="0"/>
            <w:right w:val="single" w:color="5B9BD5" w:themeColor="accent1" w:sz="4" w:space="0"/>
            <w:insideH w:val="single" w:color="5B9BD5" w:themeColor="accent1" w:sz="4" w:space="0"/>
            <w:insideV w:val="single" w:color="5B9BD5" w:themeColor="accent1" w:sz="4" w:space="0"/>
          </w:tblBorders>
          <w:tblCellMar>
            <w:top w:w="0" w:type="dxa"/>
            <w:left w:w="108" w:type="dxa"/>
            <w:bottom w:w="0" w:type="dxa"/>
            <w:right w:w="108" w:type="dxa"/>
          </w:tblCellMar>
        </w:tblPrEx>
        <w:trPr>
          <w:trHeight w:val="454" w:hRule="atLeast"/>
          <w:jc w:val="center"/>
        </w:trPr>
        <w:tc>
          <w:tcPr>
            <w:tcW w:w="1667" w:type="pct"/>
            <w:shd w:val="clear" w:color="auto" w:fill="4472C4" w:themeFill="accent5"/>
          </w:tcPr>
          <w:p w14:paraId="3AFBAD1A">
            <w:pPr>
              <w:spacing w:line="440" w:lineRule="exact"/>
              <w:jc w:val="center"/>
              <w:rPr>
                <w:rFonts w:ascii="黑体" w:hAnsi="黑体" w:eastAsia="黑体" w:cs="宋体"/>
                <w:b/>
                <w:bCs/>
                <w:color w:val="FFFFFF" w:themeColor="background1"/>
                <w:kern w:val="0"/>
                <w:szCs w:val="28"/>
                <w14:textFill>
                  <w14:solidFill>
                    <w14:schemeClr w14:val="bg1"/>
                  </w14:solidFill>
                </w14:textFill>
              </w:rPr>
            </w:pPr>
            <w:r>
              <w:rPr>
                <w:rFonts w:hint="eastAsia" w:ascii="黑体" w:hAnsi="黑体" w:eastAsia="黑体" w:cs="宋体"/>
                <w:b/>
                <w:bCs/>
                <w:color w:val="FFFFFF" w:themeColor="background1"/>
                <w:kern w:val="0"/>
                <w:szCs w:val="28"/>
                <w14:textFill>
                  <w14:solidFill>
                    <w14:schemeClr w14:val="bg1"/>
                  </w14:solidFill>
                </w14:textFill>
              </w:rPr>
              <w:t>序号</w:t>
            </w:r>
          </w:p>
        </w:tc>
        <w:tc>
          <w:tcPr>
            <w:tcW w:w="1667" w:type="pct"/>
            <w:shd w:val="clear" w:color="auto" w:fill="4472C4" w:themeFill="accent5"/>
            <w:vAlign w:val="center"/>
          </w:tcPr>
          <w:p w14:paraId="19BD1C90">
            <w:pPr>
              <w:spacing w:line="440" w:lineRule="exact"/>
              <w:jc w:val="center"/>
              <w:rPr>
                <w:rFonts w:ascii="黑体" w:hAnsi="黑体" w:eastAsia="黑体" w:cs="宋体"/>
                <w:b/>
                <w:bCs/>
                <w:color w:val="FFFFFF" w:themeColor="background1"/>
                <w:kern w:val="0"/>
                <w:szCs w:val="28"/>
                <w14:textFill>
                  <w14:solidFill>
                    <w14:schemeClr w14:val="bg1"/>
                  </w14:solidFill>
                </w14:textFill>
              </w:rPr>
            </w:pPr>
            <w:r>
              <w:rPr>
                <w:rFonts w:hint="eastAsia" w:ascii="黑体" w:hAnsi="黑体" w:eastAsia="黑体" w:cs="宋体"/>
                <w:b/>
                <w:bCs/>
                <w:color w:val="FFFFFF" w:themeColor="background1"/>
                <w:kern w:val="0"/>
                <w:szCs w:val="28"/>
                <w14:textFill>
                  <w14:solidFill>
                    <w14:schemeClr w14:val="bg1"/>
                  </w14:solidFill>
                </w14:textFill>
              </w:rPr>
              <w:t>项目</w:t>
            </w:r>
          </w:p>
        </w:tc>
        <w:tc>
          <w:tcPr>
            <w:tcW w:w="1666" w:type="pct"/>
            <w:shd w:val="clear" w:color="auto" w:fill="4472C4" w:themeFill="accent5"/>
            <w:vAlign w:val="center"/>
          </w:tcPr>
          <w:p w14:paraId="1913931D">
            <w:pPr>
              <w:spacing w:line="440" w:lineRule="exact"/>
              <w:jc w:val="center"/>
              <w:rPr>
                <w:rFonts w:ascii="黑体" w:hAnsi="黑体" w:eastAsia="黑体" w:cs="宋体"/>
                <w:b/>
                <w:bCs/>
                <w:color w:val="FFFFFF" w:themeColor="background1"/>
                <w:kern w:val="0"/>
                <w:szCs w:val="28"/>
                <w14:textFill>
                  <w14:solidFill>
                    <w14:schemeClr w14:val="bg1"/>
                  </w14:solidFill>
                </w14:textFill>
              </w:rPr>
            </w:pPr>
            <w:r>
              <w:rPr>
                <w:rFonts w:hint="eastAsia" w:ascii="黑体" w:hAnsi="黑体" w:eastAsia="黑体" w:cs="宋体"/>
                <w:b/>
                <w:bCs/>
                <w:color w:val="FFFFFF" w:themeColor="background1"/>
                <w:kern w:val="0"/>
                <w:szCs w:val="28"/>
                <w14:textFill>
                  <w14:solidFill>
                    <w14:schemeClr w14:val="bg1"/>
                  </w14:solidFill>
                </w14:textFill>
              </w:rPr>
              <w:t>金额（万元）</w:t>
            </w:r>
          </w:p>
        </w:tc>
      </w:tr>
      <w:tr w14:paraId="4DDA5836">
        <w:tblPrEx>
          <w:tblBorders>
            <w:top w:val="single" w:color="5B9BD5" w:themeColor="accent1" w:sz="4" w:space="0"/>
            <w:left w:val="single" w:color="5B9BD5" w:themeColor="accent1" w:sz="4" w:space="0"/>
            <w:bottom w:val="single" w:color="5B9BD5" w:themeColor="accent1" w:sz="4" w:space="0"/>
            <w:right w:val="single" w:color="5B9BD5" w:themeColor="accent1" w:sz="4" w:space="0"/>
            <w:insideH w:val="single" w:color="5B9BD5" w:themeColor="accent1" w:sz="4" w:space="0"/>
            <w:insideV w:val="single" w:color="5B9BD5" w:themeColor="accent1" w:sz="4" w:space="0"/>
          </w:tblBorders>
          <w:tblCellMar>
            <w:top w:w="0" w:type="dxa"/>
            <w:left w:w="108" w:type="dxa"/>
            <w:bottom w:w="0" w:type="dxa"/>
            <w:right w:w="108" w:type="dxa"/>
          </w:tblCellMar>
        </w:tblPrEx>
        <w:trPr>
          <w:trHeight w:val="454" w:hRule="atLeast"/>
          <w:jc w:val="center"/>
        </w:trPr>
        <w:tc>
          <w:tcPr>
            <w:tcW w:w="1667" w:type="pct"/>
            <w:shd w:val="clear" w:color="auto" w:fill="auto"/>
          </w:tcPr>
          <w:p w14:paraId="59D2C879">
            <w:pPr>
              <w:spacing w:line="440" w:lineRule="exact"/>
              <w:jc w:val="center"/>
              <w:rPr>
                <w:rFonts w:ascii="仿宋_GB2312" w:hAnsi="黑体" w:cs="宋体"/>
                <w:b/>
                <w:bCs/>
                <w:kern w:val="0"/>
                <w:szCs w:val="28"/>
              </w:rPr>
            </w:pPr>
            <w:r>
              <w:rPr>
                <w:rFonts w:hint="eastAsia" w:ascii="仿宋_GB2312" w:hAnsi="黑体" w:cs="宋体"/>
                <w:b/>
                <w:bCs/>
                <w:kern w:val="0"/>
                <w:szCs w:val="28"/>
              </w:rPr>
              <w:t>1</w:t>
            </w:r>
          </w:p>
        </w:tc>
        <w:tc>
          <w:tcPr>
            <w:tcW w:w="1667" w:type="pct"/>
            <w:shd w:val="clear" w:color="auto" w:fill="auto"/>
            <w:vAlign w:val="center"/>
          </w:tcPr>
          <w:p w14:paraId="145502B3">
            <w:pPr>
              <w:spacing w:line="440" w:lineRule="exact"/>
              <w:jc w:val="center"/>
              <w:rPr>
                <w:rFonts w:ascii="仿宋_GB2312" w:hAnsi="黑体" w:cs="宋体"/>
                <w:b/>
                <w:bCs/>
                <w:kern w:val="0"/>
                <w:szCs w:val="28"/>
              </w:rPr>
            </w:pPr>
            <w:r>
              <w:rPr>
                <w:rFonts w:hint="eastAsia" w:ascii="仿宋_GB2312" w:hAnsi="黑体" w:cs="宋体"/>
                <w:b/>
                <w:bCs/>
                <w:kern w:val="0"/>
                <w:szCs w:val="28"/>
              </w:rPr>
              <w:t>经营收入</w:t>
            </w:r>
          </w:p>
        </w:tc>
        <w:tc>
          <w:tcPr>
            <w:tcW w:w="1666" w:type="pct"/>
            <w:shd w:val="clear" w:color="auto" w:fill="auto"/>
            <w:vAlign w:val="center"/>
          </w:tcPr>
          <w:p w14:paraId="7DF6CB81">
            <w:pPr>
              <w:spacing w:line="440" w:lineRule="exact"/>
              <w:jc w:val="center"/>
              <w:rPr>
                <w:rFonts w:ascii="仿宋_GB2312" w:hAnsi="黑体" w:cs="宋体"/>
                <w:b/>
                <w:bCs/>
                <w:kern w:val="0"/>
                <w:szCs w:val="28"/>
              </w:rPr>
            </w:pPr>
            <w:r>
              <w:rPr>
                <w:rFonts w:hint="eastAsia" w:ascii="仿宋_GB2312" w:hAnsi="黑体" w:cs="宋体"/>
                <w:b/>
                <w:bCs/>
                <w:kern w:val="0"/>
                <w:szCs w:val="28"/>
              </w:rPr>
              <w:t>4</w:t>
            </w:r>
            <w:r>
              <w:rPr>
                <w:rFonts w:ascii="仿宋_GB2312" w:hAnsi="黑体" w:cs="宋体"/>
                <w:b/>
                <w:bCs/>
                <w:kern w:val="0"/>
                <w:szCs w:val="28"/>
              </w:rPr>
              <w:t>4000</w:t>
            </w:r>
          </w:p>
        </w:tc>
      </w:tr>
      <w:tr w14:paraId="2D1DD12E">
        <w:tblPrEx>
          <w:tblBorders>
            <w:top w:val="single" w:color="5B9BD5" w:themeColor="accent1" w:sz="4" w:space="0"/>
            <w:left w:val="single" w:color="5B9BD5" w:themeColor="accent1" w:sz="4" w:space="0"/>
            <w:bottom w:val="single" w:color="5B9BD5" w:themeColor="accent1" w:sz="4" w:space="0"/>
            <w:right w:val="single" w:color="5B9BD5" w:themeColor="accent1" w:sz="4" w:space="0"/>
            <w:insideH w:val="single" w:color="5B9BD5" w:themeColor="accent1" w:sz="4" w:space="0"/>
            <w:insideV w:val="single" w:color="5B9BD5" w:themeColor="accent1" w:sz="4" w:space="0"/>
          </w:tblBorders>
          <w:tblCellMar>
            <w:top w:w="0" w:type="dxa"/>
            <w:left w:w="108" w:type="dxa"/>
            <w:bottom w:w="0" w:type="dxa"/>
            <w:right w:w="108" w:type="dxa"/>
          </w:tblCellMar>
        </w:tblPrEx>
        <w:trPr>
          <w:trHeight w:val="454" w:hRule="atLeast"/>
          <w:jc w:val="center"/>
        </w:trPr>
        <w:tc>
          <w:tcPr>
            <w:tcW w:w="1667" w:type="pct"/>
          </w:tcPr>
          <w:p w14:paraId="020D9177">
            <w:pPr>
              <w:spacing w:line="440" w:lineRule="exact"/>
              <w:jc w:val="center"/>
              <w:rPr>
                <w:rFonts w:ascii="仿宋_GB2312" w:hAnsi="宋体" w:cs="宋体"/>
                <w:color w:val="000000"/>
                <w:kern w:val="0"/>
                <w:szCs w:val="24"/>
              </w:rPr>
            </w:pPr>
            <w:r>
              <w:rPr>
                <w:rFonts w:hint="eastAsia" w:ascii="仿宋_GB2312" w:hAnsi="宋体" w:cs="宋体"/>
                <w:color w:val="000000"/>
                <w:kern w:val="0"/>
                <w:szCs w:val="24"/>
              </w:rPr>
              <w:t>1</w:t>
            </w:r>
            <w:r>
              <w:rPr>
                <w:rFonts w:ascii="仿宋_GB2312" w:hAnsi="宋体" w:cs="宋体"/>
                <w:color w:val="000000"/>
                <w:kern w:val="0"/>
                <w:szCs w:val="24"/>
              </w:rPr>
              <w:t>.1</w:t>
            </w:r>
          </w:p>
        </w:tc>
        <w:tc>
          <w:tcPr>
            <w:tcW w:w="1667" w:type="pct"/>
            <w:vAlign w:val="center"/>
          </w:tcPr>
          <w:p w14:paraId="716132E2">
            <w:pPr>
              <w:spacing w:line="440" w:lineRule="exact"/>
              <w:jc w:val="center"/>
              <w:rPr>
                <w:rFonts w:ascii="仿宋_GB2312" w:hAnsi="宋体" w:cs="宋体"/>
                <w:color w:val="000000"/>
                <w:kern w:val="0"/>
                <w:szCs w:val="24"/>
              </w:rPr>
            </w:pPr>
            <w:r>
              <w:rPr>
                <w:rFonts w:hint="eastAsia" w:ascii="仿宋_GB2312" w:hAnsi="宋体" w:cs="宋体"/>
                <w:color w:val="000000"/>
                <w:kern w:val="0"/>
                <w:szCs w:val="24"/>
              </w:rPr>
              <w:t>各类阀</w:t>
            </w:r>
          </w:p>
        </w:tc>
        <w:tc>
          <w:tcPr>
            <w:tcW w:w="1666" w:type="pct"/>
            <w:vAlign w:val="center"/>
          </w:tcPr>
          <w:p w14:paraId="686A11C5">
            <w:pPr>
              <w:spacing w:line="440" w:lineRule="exact"/>
              <w:jc w:val="center"/>
              <w:rPr>
                <w:rFonts w:ascii="仿宋_GB2312" w:hAnsi="宋体" w:cs="宋体"/>
                <w:color w:val="000000"/>
                <w:kern w:val="0"/>
                <w:szCs w:val="24"/>
              </w:rPr>
            </w:pPr>
            <w:r>
              <w:rPr>
                <w:rFonts w:ascii="仿宋_GB2312" w:hAnsi="宋体" w:cs="宋体"/>
                <w:color w:val="000000"/>
                <w:kern w:val="0"/>
                <w:szCs w:val="24"/>
              </w:rPr>
              <w:t>20000</w:t>
            </w:r>
          </w:p>
        </w:tc>
      </w:tr>
      <w:tr w14:paraId="031C0EB7">
        <w:tblPrEx>
          <w:tblBorders>
            <w:top w:val="single" w:color="5B9BD5" w:themeColor="accent1" w:sz="4" w:space="0"/>
            <w:left w:val="single" w:color="5B9BD5" w:themeColor="accent1" w:sz="4" w:space="0"/>
            <w:bottom w:val="single" w:color="5B9BD5" w:themeColor="accent1" w:sz="4" w:space="0"/>
            <w:right w:val="single" w:color="5B9BD5" w:themeColor="accent1" w:sz="4" w:space="0"/>
            <w:insideH w:val="single" w:color="5B9BD5" w:themeColor="accent1" w:sz="4" w:space="0"/>
            <w:insideV w:val="single" w:color="5B9BD5" w:themeColor="accent1" w:sz="4" w:space="0"/>
          </w:tblBorders>
          <w:tblCellMar>
            <w:top w:w="0" w:type="dxa"/>
            <w:left w:w="108" w:type="dxa"/>
            <w:bottom w:w="0" w:type="dxa"/>
            <w:right w:w="108" w:type="dxa"/>
          </w:tblCellMar>
        </w:tblPrEx>
        <w:trPr>
          <w:trHeight w:val="454" w:hRule="atLeast"/>
          <w:jc w:val="center"/>
        </w:trPr>
        <w:tc>
          <w:tcPr>
            <w:tcW w:w="1667" w:type="pct"/>
          </w:tcPr>
          <w:p w14:paraId="40C664CF">
            <w:pPr>
              <w:spacing w:line="440" w:lineRule="exact"/>
              <w:jc w:val="center"/>
              <w:rPr>
                <w:rFonts w:ascii="仿宋_GB2312" w:hAnsi="宋体" w:cs="宋体"/>
                <w:color w:val="000000"/>
                <w:kern w:val="0"/>
                <w:szCs w:val="24"/>
              </w:rPr>
            </w:pPr>
            <w:r>
              <w:rPr>
                <w:rFonts w:hint="eastAsia" w:ascii="仿宋_GB2312" w:hAnsi="宋体" w:cs="宋体"/>
                <w:color w:val="000000"/>
                <w:kern w:val="0"/>
                <w:szCs w:val="24"/>
              </w:rPr>
              <w:t>1</w:t>
            </w:r>
            <w:r>
              <w:rPr>
                <w:rFonts w:ascii="仿宋_GB2312" w:hAnsi="宋体" w:cs="宋体"/>
                <w:color w:val="000000"/>
                <w:kern w:val="0"/>
                <w:szCs w:val="24"/>
              </w:rPr>
              <w:t>.2</w:t>
            </w:r>
          </w:p>
        </w:tc>
        <w:tc>
          <w:tcPr>
            <w:tcW w:w="1667" w:type="pct"/>
            <w:vAlign w:val="center"/>
          </w:tcPr>
          <w:p w14:paraId="58778230">
            <w:pPr>
              <w:spacing w:line="440" w:lineRule="exact"/>
              <w:jc w:val="center"/>
              <w:rPr>
                <w:rFonts w:ascii="仿宋_GB2312" w:hAnsi="宋体" w:cs="宋体"/>
                <w:color w:val="000000"/>
                <w:kern w:val="0"/>
                <w:szCs w:val="24"/>
              </w:rPr>
            </w:pPr>
            <w:r>
              <w:rPr>
                <w:rFonts w:hint="eastAsia" w:ascii="仿宋_GB2312" w:hAnsi="宋体" w:cs="宋体"/>
                <w:color w:val="000000"/>
                <w:kern w:val="0"/>
                <w:szCs w:val="24"/>
              </w:rPr>
              <w:t>各类泵</w:t>
            </w:r>
          </w:p>
        </w:tc>
        <w:tc>
          <w:tcPr>
            <w:tcW w:w="1666" w:type="pct"/>
            <w:vAlign w:val="center"/>
          </w:tcPr>
          <w:p w14:paraId="4486307F">
            <w:pPr>
              <w:spacing w:line="440" w:lineRule="exact"/>
              <w:jc w:val="center"/>
              <w:rPr>
                <w:rFonts w:ascii="仿宋_GB2312" w:hAnsi="宋体" w:cs="宋体"/>
                <w:color w:val="000000"/>
                <w:kern w:val="0"/>
                <w:szCs w:val="24"/>
              </w:rPr>
            </w:pPr>
            <w:r>
              <w:rPr>
                <w:rFonts w:ascii="仿宋_GB2312" w:hAnsi="宋体" w:cs="宋体"/>
                <w:color w:val="000000"/>
                <w:kern w:val="0"/>
                <w:szCs w:val="24"/>
              </w:rPr>
              <w:t>24000</w:t>
            </w:r>
          </w:p>
        </w:tc>
      </w:tr>
      <w:tr w14:paraId="637A56BA">
        <w:tblPrEx>
          <w:tblBorders>
            <w:top w:val="single" w:color="5B9BD5" w:themeColor="accent1" w:sz="4" w:space="0"/>
            <w:left w:val="single" w:color="5B9BD5" w:themeColor="accent1" w:sz="4" w:space="0"/>
            <w:bottom w:val="single" w:color="5B9BD5" w:themeColor="accent1" w:sz="4" w:space="0"/>
            <w:right w:val="single" w:color="5B9BD5" w:themeColor="accent1" w:sz="4" w:space="0"/>
            <w:insideH w:val="single" w:color="5B9BD5" w:themeColor="accent1" w:sz="4" w:space="0"/>
            <w:insideV w:val="single" w:color="5B9BD5" w:themeColor="accent1" w:sz="4" w:space="0"/>
          </w:tblBorders>
          <w:tblCellMar>
            <w:top w:w="0" w:type="dxa"/>
            <w:left w:w="108" w:type="dxa"/>
            <w:bottom w:w="0" w:type="dxa"/>
            <w:right w:w="108" w:type="dxa"/>
          </w:tblCellMar>
        </w:tblPrEx>
        <w:trPr>
          <w:trHeight w:val="454" w:hRule="atLeast"/>
          <w:jc w:val="center"/>
        </w:trPr>
        <w:tc>
          <w:tcPr>
            <w:tcW w:w="1667" w:type="pct"/>
            <w:shd w:val="clear" w:color="auto" w:fill="auto"/>
          </w:tcPr>
          <w:p w14:paraId="0886D6E0">
            <w:pPr>
              <w:spacing w:line="440" w:lineRule="exact"/>
              <w:jc w:val="center"/>
              <w:rPr>
                <w:rFonts w:ascii="仿宋_GB2312" w:hAnsi="黑体" w:cs="宋体"/>
                <w:b/>
                <w:bCs/>
                <w:kern w:val="0"/>
                <w:szCs w:val="28"/>
              </w:rPr>
            </w:pPr>
            <w:r>
              <w:rPr>
                <w:rFonts w:hint="eastAsia" w:ascii="仿宋_GB2312" w:hAnsi="黑体" w:cs="宋体"/>
                <w:b/>
                <w:bCs/>
                <w:kern w:val="0"/>
                <w:szCs w:val="28"/>
              </w:rPr>
              <w:t>2</w:t>
            </w:r>
          </w:p>
        </w:tc>
        <w:tc>
          <w:tcPr>
            <w:tcW w:w="1667" w:type="pct"/>
            <w:shd w:val="clear" w:color="auto" w:fill="auto"/>
            <w:vAlign w:val="center"/>
          </w:tcPr>
          <w:p w14:paraId="3BE22A29">
            <w:pPr>
              <w:spacing w:line="440" w:lineRule="exact"/>
              <w:jc w:val="center"/>
              <w:rPr>
                <w:rFonts w:ascii="仿宋_GB2312" w:hAnsi="黑体" w:cs="宋体"/>
                <w:b/>
                <w:bCs/>
                <w:kern w:val="0"/>
                <w:szCs w:val="28"/>
              </w:rPr>
            </w:pPr>
            <w:r>
              <w:rPr>
                <w:rFonts w:hint="eastAsia" w:ascii="仿宋_GB2312" w:hAnsi="黑体" w:cs="宋体"/>
                <w:b/>
                <w:bCs/>
                <w:kern w:val="0"/>
                <w:szCs w:val="28"/>
              </w:rPr>
              <w:t>经营成本</w:t>
            </w:r>
          </w:p>
        </w:tc>
        <w:tc>
          <w:tcPr>
            <w:tcW w:w="1666" w:type="pct"/>
            <w:shd w:val="clear" w:color="auto" w:fill="auto"/>
            <w:vAlign w:val="center"/>
          </w:tcPr>
          <w:p w14:paraId="494A1B3C">
            <w:pPr>
              <w:spacing w:line="440" w:lineRule="exact"/>
              <w:jc w:val="center"/>
              <w:rPr>
                <w:rFonts w:ascii="仿宋_GB2312" w:hAnsi="黑体" w:cs="宋体"/>
                <w:b/>
                <w:bCs/>
                <w:kern w:val="0"/>
                <w:szCs w:val="28"/>
              </w:rPr>
            </w:pPr>
            <w:r>
              <w:rPr>
                <w:rFonts w:hint="eastAsia" w:ascii="仿宋_GB2312" w:hAnsi="黑体" w:cs="宋体"/>
                <w:b/>
                <w:bCs/>
                <w:kern w:val="0"/>
                <w:szCs w:val="28"/>
              </w:rPr>
              <w:t>3</w:t>
            </w:r>
            <w:r>
              <w:rPr>
                <w:rFonts w:ascii="仿宋_GB2312" w:hAnsi="黑体" w:cs="宋体"/>
                <w:b/>
                <w:bCs/>
                <w:kern w:val="0"/>
                <w:szCs w:val="28"/>
              </w:rPr>
              <w:t>7853</w:t>
            </w:r>
          </w:p>
        </w:tc>
      </w:tr>
      <w:tr w14:paraId="0AD1F43D">
        <w:tblPrEx>
          <w:tblBorders>
            <w:top w:val="single" w:color="5B9BD5" w:themeColor="accent1" w:sz="4" w:space="0"/>
            <w:left w:val="single" w:color="5B9BD5" w:themeColor="accent1" w:sz="4" w:space="0"/>
            <w:bottom w:val="single" w:color="5B9BD5" w:themeColor="accent1" w:sz="4" w:space="0"/>
            <w:right w:val="single" w:color="5B9BD5" w:themeColor="accent1" w:sz="4" w:space="0"/>
            <w:insideH w:val="single" w:color="5B9BD5" w:themeColor="accent1" w:sz="4" w:space="0"/>
            <w:insideV w:val="single" w:color="5B9BD5" w:themeColor="accent1" w:sz="4" w:space="0"/>
          </w:tblBorders>
          <w:tblCellMar>
            <w:top w:w="0" w:type="dxa"/>
            <w:left w:w="108" w:type="dxa"/>
            <w:bottom w:w="0" w:type="dxa"/>
            <w:right w:w="108" w:type="dxa"/>
          </w:tblCellMar>
        </w:tblPrEx>
        <w:trPr>
          <w:trHeight w:val="454" w:hRule="atLeast"/>
          <w:jc w:val="center"/>
        </w:trPr>
        <w:tc>
          <w:tcPr>
            <w:tcW w:w="1667" w:type="pct"/>
          </w:tcPr>
          <w:p w14:paraId="412527F2">
            <w:pPr>
              <w:spacing w:line="440" w:lineRule="exact"/>
              <w:jc w:val="center"/>
              <w:rPr>
                <w:rFonts w:ascii="仿宋_GB2312" w:hAnsi="宋体" w:cs="宋体"/>
                <w:color w:val="000000"/>
                <w:kern w:val="0"/>
                <w:szCs w:val="24"/>
              </w:rPr>
            </w:pPr>
            <w:r>
              <w:rPr>
                <w:rFonts w:hint="eastAsia" w:ascii="仿宋_GB2312" w:hAnsi="宋体" w:cs="宋体"/>
                <w:color w:val="000000"/>
                <w:kern w:val="0"/>
                <w:szCs w:val="24"/>
              </w:rPr>
              <w:t>2</w:t>
            </w:r>
            <w:r>
              <w:rPr>
                <w:rFonts w:ascii="仿宋_GB2312" w:hAnsi="宋体" w:cs="宋体"/>
                <w:color w:val="000000"/>
                <w:kern w:val="0"/>
                <w:szCs w:val="24"/>
              </w:rPr>
              <w:t>.1</w:t>
            </w:r>
          </w:p>
        </w:tc>
        <w:tc>
          <w:tcPr>
            <w:tcW w:w="1667" w:type="pct"/>
            <w:vAlign w:val="center"/>
          </w:tcPr>
          <w:p w14:paraId="5AA470D9">
            <w:pPr>
              <w:spacing w:line="440" w:lineRule="exact"/>
              <w:jc w:val="center"/>
              <w:rPr>
                <w:rFonts w:ascii="仿宋_GB2312" w:hAnsi="宋体" w:cs="宋体"/>
                <w:color w:val="000000"/>
                <w:kern w:val="0"/>
                <w:szCs w:val="24"/>
              </w:rPr>
            </w:pPr>
            <w:r>
              <w:rPr>
                <w:rFonts w:hint="eastAsia" w:ascii="仿宋_GB2312" w:hAnsi="宋体" w:cs="宋体"/>
                <w:color w:val="000000"/>
                <w:kern w:val="0"/>
                <w:szCs w:val="24"/>
              </w:rPr>
              <w:t>主营业务成本</w:t>
            </w:r>
          </w:p>
        </w:tc>
        <w:tc>
          <w:tcPr>
            <w:tcW w:w="1666" w:type="pct"/>
            <w:vAlign w:val="center"/>
          </w:tcPr>
          <w:p w14:paraId="6E840A1A">
            <w:pPr>
              <w:spacing w:line="440" w:lineRule="exact"/>
              <w:jc w:val="center"/>
              <w:rPr>
                <w:rFonts w:ascii="仿宋_GB2312" w:hAnsi="宋体" w:cs="宋体"/>
                <w:color w:val="000000"/>
                <w:kern w:val="0"/>
                <w:szCs w:val="24"/>
              </w:rPr>
            </w:pPr>
            <w:r>
              <w:rPr>
                <w:rFonts w:ascii="仿宋_GB2312" w:hAnsi="宋体" w:cs="宋体"/>
                <w:color w:val="000000"/>
                <w:kern w:val="0"/>
                <w:szCs w:val="24"/>
              </w:rPr>
              <w:t>34320</w:t>
            </w:r>
          </w:p>
        </w:tc>
      </w:tr>
      <w:tr w14:paraId="2B4FC18A">
        <w:tblPrEx>
          <w:tblBorders>
            <w:top w:val="single" w:color="5B9BD5" w:themeColor="accent1" w:sz="4" w:space="0"/>
            <w:left w:val="single" w:color="5B9BD5" w:themeColor="accent1" w:sz="4" w:space="0"/>
            <w:bottom w:val="single" w:color="5B9BD5" w:themeColor="accent1" w:sz="4" w:space="0"/>
            <w:right w:val="single" w:color="5B9BD5" w:themeColor="accent1" w:sz="4" w:space="0"/>
            <w:insideH w:val="single" w:color="5B9BD5" w:themeColor="accent1" w:sz="4" w:space="0"/>
            <w:insideV w:val="single" w:color="5B9BD5" w:themeColor="accent1" w:sz="4" w:space="0"/>
          </w:tblBorders>
          <w:tblCellMar>
            <w:top w:w="0" w:type="dxa"/>
            <w:left w:w="108" w:type="dxa"/>
            <w:bottom w:w="0" w:type="dxa"/>
            <w:right w:w="108" w:type="dxa"/>
          </w:tblCellMar>
        </w:tblPrEx>
        <w:trPr>
          <w:trHeight w:val="454" w:hRule="atLeast"/>
          <w:jc w:val="center"/>
        </w:trPr>
        <w:tc>
          <w:tcPr>
            <w:tcW w:w="1667" w:type="pct"/>
          </w:tcPr>
          <w:p w14:paraId="1F688091">
            <w:pPr>
              <w:spacing w:line="440" w:lineRule="exact"/>
              <w:jc w:val="center"/>
              <w:rPr>
                <w:rFonts w:ascii="仿宋_GB2312" w:hAnsi="宋体" w:cs="宋体"/>
                <w:color w:val="000000"/>
                <w:kern w:val="0"/>
                <w:szCs w:val="24"/>
              </w:rPr>
            </w:pPr>
            <w:r>
              <w:rPr>
                <w:rFonts w:hint="eastAsia" w:ascii="仿宋_GB2312" w:hAnsi="宋体" w:cs="宋体"/>
                <w:color w:val="000000"/>
                <w:kern w:val="0"/>
                <w:szCs w:val="24"/>
              </w:rPr>
              <w:t>2</w:t>
            </w:r>
            <w:r>
              <w:rPr>
                <w:rFonts w:ascii="仿宋_GB2312" w:hAnsi="宋体" w:cs="宋体"/>
                <w:color w:val="000000"/>
                <w:kern w:val="0"/>
                <w:szCs w:val="24"/>
              </w:rPr>
              <w:t>.2</w:t>
            </w:r>
          </w:p>
        </w:tc>
        <w:tc>
          <w:tcPr>
            <w:tcW w:w="1667" w:type="pct"/>
            <w:vAlign w:val="center"/>
          </w:tcPr>
          <w:p w14:paraId="7A9B3324">
            <w:pPr>
              <w:spacing w:line="440" w:lineRule="exact"/>
              <w:jc w:val="center"/>
              <w:rPr>
                <w:rFonts w:ascii="仿宋_GB2312" w:hAnsi="宋体" w:cs="宋体"/>
                <w:color w:val="000000"/>
                <w:kern w:val="0"/>
                <w:szCs w:val="24"/>
              </w:rPr>
            </w:pPr>
            <w:r>
              <w:rPr>
                <w:rFonts w:hint="eastAsia" w:ascii="仿宋_GB2312" w:hAnsi="宋体" w:cs="宋体"/>
                <w:color w:val="000000"/>
                <w:kern w:val="0"/>
                <w:szCs w:val="24"/>
              </w:rPr>
              <w:t>销售费用</w:t>
            </w:r>
          </w:p>
        </w:tc>
        <w:tc>
          <w:tcPr>
            <w:tcW w:w="1666" w:type="pct"/>
            <w:vAlign w:val="center"/>
          </w:tcPr>
          <w:p w14:paraId="469854E4">
            <w:pPr>
              <w:spacing w:line="440" w:lineRule="exact"/>
              <w:jc w:val="center"/>
              <w:rPr>
                <w:rFonts w:ascii="仿宋_GB2312" w:hAnsi="宋体" w:cs="宋体"/>
                <w:color w:val="000000"/>
                <w:kern w:val="0"/>
                <w:szCs w:val="24"/>
              </w:rPr>
            </w:pPr>
            <w:r>
              <w:rPr>
                <w:rFonts w:ascii="仿宋_GB2312" w:hAnsi="宋体" w:cs="宋体"/>
                <w:color w:val="000000"/>
                <w:kern w:val="0"/>
                <w:szCs w:val="24"/>
              </w:rPr>
              <w:t>1408</w:t>
            </w:r>
          </w:p>
        </w:tc>
      </w:tr>
      <w:tr w14:paraId="2FC6638B">
        <w:tblPrEx>
          <w:tblBorders>
            <w:top w:val="single" w:color="5B9BD5" w:themeColor="accent1" w:sz="4" w:space="0"/>
            <w:left w:val="single" w:color="5B9BD5" w:themeColor="accent1" w:sz="4" w:space="0"/>
            <w:bottom w:val="single" w:color="5B9BD5" w:themeColor="accent1" w:sz="4" w:space="0"/>
            <w:right w:val="single" w:color="5B9BD5" w:themeColor="accent1" w:sz="4" w:space="0"/>
            <w:insideH w:val="single" w:color="5B9BD5" w:themeColor="accent1" w:sz="4" w:space="0"/>
            <w:insideV w:val="single" w:color="5B9BD5" w:themeColor="accent1" w:sz="4" w:space="0"/>
          </w:tblBorders>
          <w:tblCellMar>
            <w:top w:w="0" w:type="dxa"/>
            <w:left w:w="108" w:type="dxa"/>
            <w:bottom w:w="0" w:type="dxa"/>
            <w:right w:w="108" w:type="dxa"/>
          </w:tblCellMar>
        </w:tblPrEx>
        <w:trPr>
          <w:trHeight w:val="454" w:hRule="atLeast"/>
          <w:jc w:val="center"/>
        </w:trPr>
        <w:tc>
          <w:tcPr>
            <w:tcW w:w="1667" w:type="pct"/>
          </w:tcPr>
          <w:p w14:paraId="660B5EDF">
            <w:pPr>
              <w:spacing w:line="440" w:lineRule="exact"/>
              <w:jc w:val="center"/>
              <w:rPr>
                <w:rFonts w:ascii="仿宋_GB2312" w:hAnsi="宋体" w:cs="宋体"/>
                <w:color w:val="000000"/>
                <w:kern w:val="0"/>
                <w:szCs w:val="24"/>
              </w:rPr>
            </w:pPr>
            <w:r>
              <w:rPr>
                <w:rFonts w:hint="eastAsia" w:ascii="仿宋_GB2312" w:hAnsi="宋体" w:cs="宋体"/>
                <w:color w:val="000000"/>
                <w:kern w:val="0"/>
                <w:szCs w:val="24"/>
              </w:rPr>
              <w:t>2</w:t>
            </w:r>
            <w:r>
              <w:rPr>
                <w:rFonts w:ascii="仿宋_GB2312" w:hAnsi="宋体" w:cs="宋体"/>
                <w:color w:val="000000"/>
                <w:kern w:val="0"/>
                <w:szCs w:val="24"/>
              </w:rPr>
              <w:t>.3</w:t>
            </w:r>
          </w:p>
        </w:tc>
        <w:tc>
          <w:tcPr>
            <w:tcW w:w="1667" w:type="pct"/>
            <w:vAlign w:val="center"/>
          </w:tcPr>
          <w:p w14:paraId="563DE640">
            <w:pPr>
              <w:spacing w:line="440" w:lineRule="exact"/>
              <w:jc w:val="center"/>
              <w:rPr>
                <w:rFonts w:ascii="仿宋_GB2312" w:hAnsi="宋体" w:cs="宋体"/>
                <w:color w:val="000000"/>
                <w:kern w:val="0"/>
                <w:szCs w:val="24"/>
              </w:rPr>
            </w:pPr>
            <w:r>
              <w:rPr>
                <w:rFonts w:hint="eastAsia" w:ascii="仿宋_GB2312" w:hAnsi="宋体" w:cs="宋体"/>
                <w:color w:val="000000"/>
                <w:kern w:val="0"/>
                <w:szCs w:val="24"/>
              </w:rPr>
              <w:t>管理费用</w:t>
            </w:r>
          </w:p>
        </w:tc>
        <w:tc>
          <w:tcPr>
            <w:tcW w:w="1666" w:type="pct"/>
            <w:vAlign w:val="center"/>
          </w:tcPr>
          <w:p w14:paraId="0E7B4480">
            <w:pPr>
              <w:spacing w:line="440" w:lineRule="exact"/>
              <w:jc w:val="center"/>
              <w:rPr>
                <w:rFonts w:ascii="仿宋_GB2312" w:hAnsi="宋体" w:cs="宋体"/>
                <w:color w:val="000000"/>
                <w:kern w:val="0"/>
                <w:szCs w:val="24"/>
              </w:rPr>
            </w:pPr>
            <w:r>
              <w:rPr>
                <w:rFonts w:ascii="仿宋_GB2312" w:hAnsi="宋体" w:cs="宋体"/>
                <w:color w:val="000000"/>
                <w:kern w:val="0"/>
                <w:szCs w:val="24"/>
              </w:rPr>
              <w:t>1100</w:t>
            </w:r>
          </w:p>
        </w:tc>
      </w:tr>
      <w:tr w14:paraId="3F2930F3">
        <w:tblPrEx>
          <w:tblBorders>
            <w:top w:val="single" w:color="5B9BD5" w:themeColor="accent1" w:sz="4" w:space="0"/>
            <w:left w:val="single" w:color="5B9BD5" w:themeColor="accent1" w:sz="4" w:space="0"/>
            <w:bottom w:val="single" w:color="5B9BD5" w:themeColor="accent1" w:sz="4" w:space="0"/>
            <w:right w:val="single" w:color="5B9BD5" w:themeColor="accent1" w:sz="4" w:space="0"/>
            <w:insideH w:val="single" w:color="5B9BD5" w:themeColor="accent1" w:sz="4" w:space="0"/>
            <w:insideV w:val="single" w:color="5B9BD5" w:themeColor="accent1" w:sz="4" w:space="0"/>
          </w:tblBorders>
          <w:tblCellMar>
            <w:top w:w="0" w:type="dxa"/>
            <w:left w:w="108" w:type="dxa"/>
            <w:bottom w:w="0" w:type="dxa"/>
            <w:right w:w="108" w:type="dxa"/>
          </w:tblCellMar>
        </w:tblPrEx>
        <w:trPr>
          <w:trHeight w:val="454" w:hRule="atLeast"/>
          <w:jc w:val="center"/>
        </w:trPr>
        <w:tc>
          <w:tcPr>
            <w:tcW w:w="1667" w:type="pct"/>
          </w:tcPr>
          <w:p w14:paraId="4829B773">
            <w:pPr>
              <w:spacing w:line="440" w:lineRule="exact"/>
              <w:jc w:val="center"/>
              <w:rPr>
                <w:rFonts w:ascii="仿宋_GB2312" w:hAnsi="宋体" w:cs="宋体"/>
                <w:color w:val="000000"/>
                <w:kern w:val="0"/>
                <w:szCs w:val="24"/>
              </w:rPr>
            </w:pPr>
            <w:r>
              <w:rPr>
                <w:rFonts w:hint="eastAsia" w:ascii="仿宋_GB2312" w:hAnsi="宋体" w:cs="宋体"/>
                <w:color w:val="000000"/>
                <w:kern w:val="0"/>
                <w:szCs w:val="24"/>
              </w:rPr>
              <w:t>2</w:t>
            </w:r>
            <w:r>
              <w:rPr>
                <w:rFonts w:ascii="仿宋_GB2312" w:hAnsi="宋体" w:cs="宋体"/>
                <w:color w:val="000000"/>
                <w:kern w:val="0"/>
                <w:szCs w:val="24"/>
              </w:rPr>
              <w:t>.4</w:t>
            </w:r>
          </w:p>
        </w:tc>
        <w:tc>
          <w:tcPr>
            <w:tcW w:w="1667" w:type="pct"/>
            <w:vAlign w:val="center"/>
          </w:tcPr>
          <w:p w14:paraId="48E40660">
            <w:pPr>
              <w:spacing w:line="440" w:lineRule="exact"/>
              <w:jc w:val="center"/>
              <w:rPr>
                <w:rFonts w:ascii="仿宋_GB2312" w:hAnsi="宋体" w:cs="宋体"/>
                <w:color w:val="000000"/>
                <w:kern w:val="0"/>
                <w:szCs w:val="24"/>
              </w:rPr>
            </w:pPr>
            <w:r>
              <w:rPr>
                <w:rFonts w:hint="eastAsia" w:ascii="仿宋_GB2312" w:hAnsi="宋体" w:cs="宋体"/>
                <w:color w:val="000000"/>
                <w:kern w:val="0"/>
                <w:szCs w:val="24"/>
              </w:rPr>
              <w:t>研发费用</w:t>
            </w:r>
          </w:p>
        </w:tc>
        <w:tc>
          <w:tcPr>
            <w:tcW w:w="1666" w:type="pct"/>
            <w:vAlign w:val="center"/>
          </w:tcPr>
          <w:p w14:paraId="6D53BFDC">
            <w:pPr>
              <w:spacing w:line="440" w:lineRule="exact"/>
              <w:jc w:val="center"/>
              <w:rPr>
                <w:rFonts w:ascii="仿宋_GB2312" w:hAnsi="宋体" w:cs="宋体"/>
                <w:color w:val="000000"/>
                <w:kern w:val="0"/>
                <w:szCs w:val="24"/>
              </w:rPr>
            </w:pPr>
            <w:r>
              <w:rPr>
                <w:rFonts w:ascii="仿宋_GB2312" w:hAnsi="宋体" w:cs="宋体"/>
                <w:color w:val="000000"/>
                <w:kern w:val="0"/>
                <w:szCs w:val="24"/>
              </w:rPr>
              <w:t>660</w:t>
            </w:r>
          </w:p>
        </w:tc>
      </w:tr>
      <w:tr w14:paraId="56859230">
        <w:tblPrEx>
          <w:tblBorders>
            <w:top w:val="single" w:color="5B9BD5" w:themeColor="accent1" w:sz="4" w:space="0"/>
            <w:left w:val="single" w:color="5B9BD5" w:themeColor="accent1" w:sz="4" w:space="0"/>
            <w:bottom w:val="single" w:color="5B9BD5" w:themeColor="accent1" w:sz="4" w:space="0"/>
            <w:right w:val="single" w:color="5B9BD5" w:themeColor="accent1" w:sz="4" w:space="0"/>
            <w:insideH w:val="single" w:color="5B9BD5" w:themeColor="accent1" w:sz="4" w:space="0"/>
            <w:insideV w:val="single" w:color="5B9BD5" w:themeColor="accent1" w:sz="4" w:space="0"/>
          </w:tblBorders>
          <w:tblCellMar>
            <w:top w:w="0" w:type="dxa"/>
            <w:left w:w="108" w:type="dxa"/>
            <w:bottom w:w="0" w:type="dxa"/>
            <w:right w:w="108" w:type="dxa"/>
          </w:tblCellMar>
        </w:tblPrEx>
        <w:trPr>
          <w:trHeight w:val="454" w:hRule="atLeast"/>
          <w:jc w:val="center"/>
        </w:trPr>
        <w:tc>
          <w:tcPr>
            <w:tcW w:w="1667" w:type="pct"/>
          </w:tcPr>
          <w:p w14:paraId="17E9058D">
            <w:pPr>
              <w:spacing w:line="440" w:lineRule="exact"/>
              <w:jc w:val="center"/>
              <w:rPr>
                <w:rFonts w:ascii="仿宋_GB2312" w:hAnsi="宋体" w:cs="宋体"/>
                <w:color w:val="000000"/>
                <w:kern w:val="0"/>
                <w:szCs w:val="24"/>
              </w:rPr>
            </w:pPr>
            <w:r>
              <w:rPr>
                <w:rFonts w:hint="eastAsia" w:ascii="仿宋_GB2312" w:hAnsi="宋体" w:cs="宋体"/>
                <w:color w:val="000000"/>
                <w:kern w:val="0"/>
                <w:szCs w:val="24"/>
              </w:rPr>
              <w:t>2</w:t>
            </w:r>
            <w:r>
              <w:rPr>
                <w:rFonts w:ascii="仿宋_GB2312" w:hAnsi="宋体" w:cs="宋体"/>
                <w:color w:val="000000"/>
                <w:kern w:val="0"/>
                <w:szCs w:val="24"/>
              </w:rPr>
              <w:t>.5</w:t>
            </w:r>
          </w:p>
        </w:tc>
        <w:tc>
          <w:tcPr>
            <w:tcW w:w="1667" w:type="pct"/>
            <w:vAlign w:val="center"/>
          </w:tcPr>
          <w:p w14:paraId="38AF27A7">
            <w:pPr>
              <w:spacing w:line="440" w:lineRule="exact"/>
              <w:jc w:val="center"/>
              <w:rPr>
                <w:rFonts w:ascii="仿宋_GB2312" w:hAnsi="宋体" w:cs="宋体"/>
                <w:color w:val="000000"/>
                <w:kern w:val="0"/>
                <w:szCs w:val="24"/>
              </w:rPr>
            </w:pPr>
            <w:r>
              <w:rPr>
                <w:rFonts w:hint="eastAsia" w:ascii="仿宋_GB2312" w:hAnsi="宋体" w:cs="宋体"/>
                <w:color w:val="000000"/>
                <w:kern w:val="0"/>
                <w:szCs w:val="24"/>
              </w:rPr>
              <w:t>税金及附加</w:t>
            </w:r>
          </w:p>
        </w:tc>
        <w:tc>
          <w:tcPr>
            <w:tcW w:w="1666" w:type="pct"/>
            <w:vAlign w:val="center"/>
          </w:tcPr>
          <w:p w14:paraId="73270C5F">
            <w:pPr>
              <w:spacing w:line="440" w:lineRule="exact"/>
              <w:jc w:val="center"/>
              <w:rPr>
                <w:rFonts w:ascii="仿宋_GB2312" w:hAnsi="宋体" w:cs="宋体"/>
                <w:color w:val="000000"/>
                <w:kern w:val="0"/>
                <w:szCs w:val="24"/>
              </w:rPr>
            </w:pPr>
            <w:r>
              <w:rPr>
                <w:rFonts w:ascii="仿宋_GB2312" w:hAnsi="宋体" w:cs="宋体"/>
                <w:color w:val="000000"/>
                <w:kern w:val="0"/>
                <w:szCs w:val="24"/>
              </w:rPr>
              <w:t>365</w:t>
            </w:r>
          </w:p>
        </w:tc>
      </w:tr>
      <w:tr w14:paraId="0A0916C7">
        <w:tblPrEx>
          <w:tblBorders>
            <w:top w:val="single" w:color="5B9BD5" w:themeColor="accent1" w:sz="4" w:space="0"/>
            <w:left w:val="single" w:color="5B9BD5" w:themeColor="accent1" w:sz="4" w:space="0"/>
            <w:bottom w:val="single" w:color="5B9BD5" w:themeColor="accent1" w:sz="4" w:space="0"/>
            <w:right w:val="single" w:color="5B9BD5" w:themeColor="accent1" w:sz="4" w:space="0"/>
            <w:insideH w:val="single" w:color="5B9BD5" w:themeColor="accent1" w:sz="4" w:space="0"/>
            <w:insideV w:val="single" w:color="5B9BD5" w:themeColor="accent1" w:sz="4" w:space="0"/>
          </w:tblBorders>
          <w:tblCellMar>
            <w:top w:w="0" w:type="dxa"/>
            <w:left w:w="108" w:type="dxa"/>
            <w:bottom w:w="0" w:type="dxa"/>
            <w:right w:w="108" w:type="dxa"/>
          </w:tblCellMar>
        </w:tblPrEx>
        <w:trPr>
          <w:trHeight w:val="454" w:hRule="atLeast"/>
          <w:jc w:val="center"/>
        </w:trPr>
        <w:tc>
          <w:tcPr>
            <w:tcW w:w="1667" w:type="pct"/>
          </w:tcPr>
          <w:p w14:paraId="0A6DE5E0">
            <w:pPr>
              <w:spacing w:line="440" w:lineRule="exact"/>
              <w:jc w:val="center"/>
              <w:rPr>
                <w:rFonts w:ascii="仿宋_GB2312" w:hAnsi="宋体" w:cs="宋体"/>
                <w:b/>
                <w:bCs/>
                <w:color w:val="000000"/>
                <w:kern w:val="0"/>
                <w:szCs w:val="24"/>
              </w:rPr>
            </w:pPr>
            <w:r>
              <w:rPr>
                <w:rFonts w:hint="eastAsia" w:ascii="仿宋_GB2312" w:hAnsi="宋体" w:cs="宋体"/>
                <w:b/>
                <w:bCs/>
                <w:color w:val="000000"/>
                <w:kern w:val="0"/>
                <w:szCs w:val="24"/>
              </w:rPr>
              <w:t>3</w:t>
            </w:r>
          </w:p>
        </w:tc>
        <w:tc>
          <w:tcPr>
            <w:tcW w:w="1667" w:type="pct"/>
            <w:vAlign w:val="center"/>
          </w:tcPr>
          <w:p w14:paraId="0A6EC16D">
            <w:pPr>
              <w:spacing w:line="440" w:lineRule="exact"/>
              <w:jc w:val="center"/>
              <w:rPr>
                <w:rFonts w:ascii="仿宋_GB2312" w:hAnsi="宋体" w:cs="宋体"/>
                <w:b/>
                <w:bCs/>
                <w:color w:val="000000"/>
                <w:kern w:val="0"/>
                <w:szCs w:val="24"/>
              </w:rPr>
            </w:pPr>
            <w:r>
              <w:rPr>
                <w:rFonts w:hint="eastAsia" w:ascii="仿宋_GB2312" w:hAnsi="宋体" w:cs="宋体"/>
                <w:b/>
                <w:bCs/>
                <w:color w:val="000000"/>
                <w:kern w:val="0"/>
                <w:szCs w:val="24"/>
              </w:rPr>
              <w:t>营业利润</w:t>
            </w:r>
          </w:p>
        </w:tc>
        <w:tc>
          <w:tcPr>
            <w:tcW w:w="1666" w:type="pct"/>
            <w:vAlign w:val="center"/>
          </w:tcPr>
          <w:p w14:paraId="03AB0B0E">
            <w:pPr>
              <w:spacing w:line="440" w:lineRule="exact"/>
              <w:jc w:val="center"/>
              <w:rPr>
                <w:rFonts w:ascii="仿宋_GB2312" w:hAnsi="宋体" w:cs="宋体"/>
                <w:b/>
                <w:bCs/>
                <w:color w:val="000000"/>
                <w:kern w:val="0"/>
                <w:szCs w:val="24"/>
              </w:rPr>
            </w:pPr>
            <w:r>
              <w:rPr>
                <w:rFonts w:ascii="仿宋_GB2312" w:hAnsi="宋体" w:cs="宋体"/>
                <w:b/>
                <w:bCs/>
                <w:color w:val="000000"/>
                <w:kern w:val="0"/>
                <w:szCs w:val="24"/>
              </w:rPr>
              <w:t>6147</w:t>
            </w:r>
          </w:p>
        </w:tc>
      </w:tr>
      <w:tr w14:paraId="4D7153D7">
        <w:tblPrEx>
          <w:tblBorders>
            <w:top w:val="single" w:color="5B9BD5" w:themeColor="accent1" w:sz="4" w:space="0"/>
            <w:left w:val="single" w:color="5B9BD5" w:themeColor="accent1" w:sz="4" w:space="0"/>
            <w:bottom w:val="single" w:color="5B9BD5" w:themeColor="accent1" w:sz="4" w:space="0"/>
            <w:right w:val="single" w:color="5B9BD5" w:themeColor="accent1" w:sz="4" w:space="0"/>
            <w:insideH w:val="single" w:color="5B9BD5" w:themeColor="accent1" w:sz="4" w:space="0"/>
            <w:insideV w:val="single" w:color="5B9BD5" w:themeColor="accent1" w:sz="4" w:space="0"/>
          </w:tblBorders>
          <w:tblCellMar>
            <w:top w:w="0" w:type="dxa"/>
            <w:left w:w="108" w:type="dxa"/>
            <w:bottom w:w="0" w:type="dxa"/>
            <w:right w:w="108" w:type="dxa"/>
          </w:tblCellMar>
        </w:tblPrEx>
        <w:trPr>
          <w:trHeight w:val="454" w:hRule="atLeast"/>
          <w:jc w:val="center"/>
        </w:trPr>
        <w:tc>
          <w:tcPr>
            <w:tcW w:w="1667" w:type="pct"/>
          </w:tcPr>
          <w:p w14:paraId="28B80697">
            <w:pPr>
              <w:spacing w:line="440" w:lineRule="exact"/>
              <w:jc w:val="center"/>
              <w:rPr>
                <w:rFonts w:ascii="仿宋_GB2312" w:hAnsi="宋体" w:cs="宋体"/>
                <w:b/>
                <w:bCs/>
                <w:color w:val="000000"/>
                <w:kern w:val="0"/>
                <w:szCs w:val="24"/>
              </w:rPr>
            </w:pPr>
            <w:r>
              <w:rPr>
                <w:rFonts w:hint="eastAsia" w:ascii="仿宋_GB2312" w:hAnsi="宋体" w:cs="宋体"/>
                <w:b/>
                <w:bCs/>
                <w:color w:val="000000"/>
                <w:kern w:val="0"/>
                <w:szCs w:val="24"/>
              </w:rPr>
              <w:t>4</w:t>
            </w:r>
          </w:p>
        </w:tc>
        <w:tc>
          <w:tcPr>
            <w:tcW w:w="1667" w:type="pct"/>
            <w:vAlign w:val="center"/>
          </w:tcPr>
          <w:p w14:paraId="11C4676C">
            <w:pPr>
              <w:spacing w:line="440" w:lineRule="exact"/>
              <w:jc w:val="center"/>
              <w:rPr>
                <w:rFonts w:ascii="仿宋_GB2312" w:hAnsi="宋体" w:cs="宋体"/>
                <w:b/>
                <w:bCs/>
                <w:color w:val="000000"/>
                <w:kern w:val="0"/>
                <w:szCs w:val="24"/>
              </w:rPr>
            </w:pPr>
            <w:r>
              <w:rPr>
                <w:rFonts w:hint="eastAsia" w:ascii="仿宋_GB2312" w:hAnsi="宋体" w:cs="宋体"/>
                <w:b/>
                <w:bCs/>
                <w:color w:val="000000"/>
                <w:kern w:val="0"/>
                <w:szCs w:val="24"/>
              </w:rPr>
              <w:t>净利润</w:t>
            </w:r>
          </w:p>
        </w:tc>
        <w:tc>
          <w:tcPr>
            <w:tcW w:w="1666" w:type="pct"/>
            <w:vAlign w:val="center"/>
          </w:tcPr>
          <w:p w14:paraId="356F43F3">
            <w:pPr>
              <w:spacing w:line="440" w:lineRule="exact"/>
              <w:jc w:val="center"/>
              <w:rPr>
                <w:rFonts w:ascii="仿宋_GB2312" w:hAnsi="宋体" w:cs="宋体"/>
                <w:b/>
                <w:bCs/>
                <w:color w:val="000000"/>
                <w:kern w:val="0"/>
                <w:szCs w:val="24"/>
              </w:rPr>
            </w:pPr>
            <w:r>
              <w:rPr>
                <w:rFonts w:ascii="仿宋_GB2312" w:hAnsi="宋体" w:cs="宋体"/>
                <w:b/>
                <w:bCs/>
                <w:color w:val="000000"/>
                <w:kern w:val="0"/>
                <w:szCs w:val="24"/>
              </w:rPr>
              <w:t>4693</w:t>
            </w:r>
          </w:p>
        </w:tc>
      </w:tr>
    </w:tbl>
    <w:p w14:paraId="59999520">
      <w:pPr>
        <w:pStyle w:val="3"/>
        <w:spacing w:before="0" w:after="0" w:line="580" w:lineRule="exact"/>
        <w:ind w:firstLine="643" w:firstLineChars="200"/>
        <w:rPr>
          <w:rFonts w:ascii="黑体" w:hAnsi="黑体" w:eastAsia="黑体" w:cs="宋体"/>
          <w:color w:val="000000" w:themeColor="text1"/>
          <w:sz w:val="32"/>
          <w14:textFill>
            <w14:solidFill>
              <w14:schemeClr w14:val="tx1"/>
            </w14:solidFill>
          </w14:textFill>
        </w:rPr>
      </w:pPr>
      <w:bookmarkStart w:id="51" w:name="_Toc76718415"/>
      <w:bookmarkStart w:id="52" w:name="_Toc78208239"/>
      <w:r>
        <w:rPr>
          <w:rFonts w:ascii="黑体" w:hAnsi="黑体" w:eastAsia="黑体" w:cs="宋体"/>
          <w:color w:val="000000" w:themeColor="text1"/>
          <w:sz w:val="32"/>
          <w14:textFill>
            <w14:solidFill>
              <w14:schemeClr w14:val="tx1"/>
            </w14:solidFill>
          </w14:textFill>
        </w:rPr>
        <w:t>三、项目投资回收期</w:t>
      </w:r>
      <w:bookmarkEnd w:id="51"/>
      <w:bookmarkEnd w:id="52"/>
    </w:p>
    <w:p w14:paraId="51DFE805">
      <w:pPr>
        <w:spacing w:line="580" w:lineRule="exact"/>
        <w:ind w:firstLine="640" w:firstLineChars="200"/>
        <w:rPr>
          <w:rFonts w:ascii="Times New Roman" w:hAnsi="Times New Roman" w:cs="Times New Roman"/>
        </w:rPr>
      </w:pPr>
      <w:r>
        <w:rPr>
          <w:rFonts w:hint="eastAsia" w:ascii="仿宋_GB2312" w:hAnsi="宋体" w:cs="宋体"/>
          <w:sz w:val="32"/>
          <w:szCs w:val="32"/>
        </w:rPr>
        <w:t>项目总规划用地</w:t>
      </w:r>
      <w:r>
        <w:rPr>
          <w:rFonts w:ascii="仿宋_GB2312" w:hAnsi="宋体" w:cs="宋体"/>
          <w:sz w:val="32"/>
          <w:szCs w:val="32"/>
        </w:rPr>
        <w:t>1</w:t>
      </w:r>
      <w:r>
        <w:rPr>
          <w:rFonts w:hint="eastAsia" w:ascii="仿宋_GB2312" w:hAnsi="宋体" w:cs="宋体"/>
          <w:sz w:val="32"/>
          <w:szCs w:val="32"/>
        </w:rPr>
        <w:t>50亩，拟投资</w:t>
      </w:r>
      <w:r>
        <w:rPr>
          <w:rFonts w:ascii="仿宋_GB2312" w:hAnsi="宋体" w:cs="宋体"/>
          <w:sz w:val="32"/>
          <w:szCs w:val="32"/>
        </w:rPr>
        <w:t>30</w:t>
      </w:r>
      <w:r>
        <w:rPr>
          <w:rFonts w:hint="eastAsia" w:ascii="仿宋_GB2312" w:hAnsi="宋体" w:cs="宋体"/>
          <w:sz w:val="32"/>
          <w:szCs w:val="32"/>
        </w:rPr>
        <w:t>000万元，达产年预计年销售收入为</w:t>
      </w:r>
      <w:r>
        <w:rPr>
          <w:rFonts w:ascii="仿宋_GB2312" w:hAnsi="宋体" w:cs="宋体"/>
          <w:sz w:val="32"/>
          <w:szCs w:val="32"/>
        </w:rPr>
        <w:t>44000</w:t>
      </w:r>
      <w:r>
        <w:rPr>
          <w:rFonts w:hint="eastAsia" w:ascii="仿宋_GB2312" w:hAnsi="宋体" w:cs="宋体"/>
          <w:sz w:val="32"/>
          <w:szCs w:val="32"/>
        </w:rPr>
        <w:t>万元，年利税额为</w:t>
      </w:r>
      <w:r>
        <w:rPr>
          <w:rFonts w:ascii="仿宋_GB2312" w:hAnsi="宋体" w:cs="宋体"/>
          <w:sz w:val="32"/>
          <w:szCs w:val="32"/>
        </w:rPr>
        <w:t>9555</w:t>
      </w:r>
      <w:r>
        <w:rPr>
          <w:rFonts w:hint="eastAsia" w:ascii="仿宋_GB2312" w:hAnsi="宋体" w:cs="宋体"/>
          <w:sz w:val="32"/>
          <w:szCs w:val="32"/>
        </w:rPr>
        <w:t>万元。项目投资回报率为</w:t>
      </w:r>
      <w:r>
        <w:rPr>
          <w:rFonts w:ascii="仿宋_GB2312" w:hAnsi="宋体" w:cs="宋体"/>
          <w:sz w:val="32"/>
          <w:szCs w:val="32"/>
        </w:rPr>
        <w:t>20.49</w:t>
      </w:r>
      <w:r>
        <w:rPr>
          <w:rFonts w:hint="eastAsia" w:ascii="仿宋_GB2312" w:hAnsi="宋体" w:cs="宋体"/>
          <w:sz w:val="32"/>
          <w:szCs w:val="32"/>
        </w:rPr>
        <w:t>%，税后投资回收期约为</w:t>
      </w:r>
      <w:r>
        <w:rPr>
          <w:rFonts w:ascii="仿宋_GB2312" w:hAnsi="宋体" w:cs="宋体"/>
          <w:sz w:val="32"/>
          <w:szCs w:val="32"/>
        </w:rPr>
        <w:t>5</w:t>
      </w:r>
      <w:r>
        <w:rPr>
          <w:rFonts w:hint="eastAsia" w:ascii="仿宋_GB2312" w:hAnsi="宋体" w:cs="宋体"/>
          <w:sz w:val="32"/>
          <w:szCs w:val="32"/>
        </w:rPr>
        <w:t>年（不含建设期），具备较好的经济效益。</w:t>
      </w:r>
    </w:p>
    <w:p w14:paraId="4912352E">
      <w:pPr>
        <w:pStyle w:val="2"/>
        <w:spacing w:before="0" w:after="0" w:line="580" w:lineRule="exact"/>
        <w:jc w:val="center"/>
        <w:rPr>
          <w:rFonts w:ascii="方正小标宋简体" w:hAnsi="宋体" w:eastAsia="方正小标宋简体" w:cs="宋体"/>
          <w:color w:val="000000" w:themeColor="text1"/>
          <w:sz w:val="44"/>
          <w14:textFill>
            <w14:solidFill>
              <w14:schemeClr w14:val="tx1"/>
            </w14:solidFill>
          </w14:textFill>
        </w:rPr>
      </w:pPr>
      <w:r>
        <w:rPr>
          <w:rFonts w:ascii="方正小标宋简体" w:hAnsi="宋体" w:eastAsia="方正小标宋简体" w:cs="宋体"/>
          <w:color w:val="000000" w:themeColor="text1"/>
          <w:sz w:val="44"/>
          <w14:textFill>
            <w14:solidFill>
              <w14:schemeClr w14:val="tx1"/>
            </w14:solidFill>
          </w14:textFill>
        </w:rPr>
        <w:br w:type="page"/>
      </w:r>
    </w:p>
    <w:p w14:paraId="725A9A75">
      <w:pPr>
        <w:pStyle w:val="2"/>
        <w:spacing w:before="0" w:after="0" w:line="580" w:lineRule="exact"/>
        <w:jc w:val="center"/>
        <w:rPr>
          <w:rFonts w:ascii="方正小标宋简体" w:hAnsi="宋体" w:eastAsia="方正小标宋简体" w:cs="宋体"/>
          <w:color w:val="000000" w:themeColor="text1"/>
          <w:sz w:val="44"/>
          <w14:textFill>
            <w14:solidFill>
              <w14:schemeClr w14:val="tx1"/>
            </w14:solidFill>
          </w14:textFill>
        </w:rPr>
      </w:pPr>
      <w:bookmarkStart w:id="53" w:name="_Toc76718416"/>
      <w:bookmarkStart w:id="54" w:name="_Toc78208240"/>
      <w:r>
        <w:rPr>
          <w:rFonts w:ascii="方正小标宋简体" w:hAnsi="宋体" w:eastAsia="方正小标宋简体" w:cs="宋体"/>
          <w:color w:val="000000" w:themeColor="text1"/>
          <w:sz w:val="44"/>
          <w14:textFill>
            <w14:solidFill>
              <w14:schemeClr w14:val="tx1"/>
            </w14:solidFill>
          </w14:textFill>
        </w:rPr>
        <w:t>第六章</w:t>
      </w:r>
      <w:r>
        <w:rPr>
          <w:rFonts w:hint="eastAsia" w:ascii="方正小标宋简体" w:hAnsi="宋体" w:eastAsia="方正小标宋简体" w:cs="宋体"/>
          <w:color w:val="000000" w:themeColor="text1"/>
          <w:sz w:val="44"/>
          <w14:textFill>
            <w14:solidFill>
              <w14:schemeClr w14:val="tx1"/>
            </w14:solidFill>
          </w14:textFill>
        </w:rPr>
        <w:t xml:space="preserve"> </w:t>
      </w:r>
      <w:r>
        <w:rPr>
          <w:rFonts w:ascii="方正小标宋简体" w:hAnsi="宋体" w:eastAsia="方正小标宋简体" w:cs="宋体"/>
          <w:color w:val="000000" w:themeColor="text1"/>
          <w:sz w:val="44"/>
          <w14:textFill>
            <w14:solidFill>
              <w14:schemeClr w14:val="tx1"/>
            </w14:solidFill>
          </w14:textFill>
        </w:rPr>
        <w:t>投资服务保障</w:t>
      </w:r>
      <w:bookmarkEnd w:id="53"/>
      <w:bookmarkEnd w:id="54"/>
    </w:p>
    <w:p w14:paraId="158B03CE">
      <w:pPr>
        <w:spacing w:line="580" w:lineRule="exact"/>
        <w:rPr>
          <w:rFonts w:ascii="方正小标宋简体" w:eastAsia="方正小标宋简体"/>
          <w:sz w:val="44"/>
          <w:szCs w:val="44"/>
        </w:rPr>
      </w:pPr>
      <w:r>
        <w:rPr>
          <w:rFonts w:hint="eastAsia" w:ascii="方正小标宋简体" w:eastAsia="方正小标宋简体"/>
          <w:sz w:val="44"/>
          <w:szCs w:val="44"/>
        </w:rPr>
        <w:t xml:space="preserve"> </w:t>
      </w:r>
    </w:p>
    <w:p w14:paraId="05FD4026">
      <w:pPr>
        <w:pStyle w:val="3"/>
        <w:spacing w:before="0" w:after="0" w:line="580" w:lineRule="exact"/>
        <w:ind w:firstLine="643" w:firstLineChars="200"/>
        <w:rPr>
          <w:rFonts w:ascii="黑体" w:hAnsi="黑体" w:eastAsia="黑体" w:cs="宋体"/>
          <w:color w:val="000000" w:themeColor="text1"/>
          <w:sz w:val="32"/>
          <w14:textFill>
            <w14:solidFill>
              <w14:schemeClr w14:val="tx1"/>
            </w14:solidFill>
          </w14:textFill>
        </w:rPr>
      </w:pPr>
      <w:bookmarkStart w:id="55" w:name="_Toc76725795"/>
      <w:bookmarkStart w:id="56" w:name="_Toc78208241"/>
      <w:bookmarkStart w:id="57" w:name="_Hlk49350743"/>
      <w:r>
        <w:rPr>
          <w:rFonts w:ascii="黑体" w:hAnsi="黑体" w:eastAsia="黑体" w:cs="宋体"/>
          <w:color w:val="000000" w:themeColor="text1"/>
          <w:sz w:val="32"/>
          <w14:textFill>
            <w14:solidFill>
              <w14:schemeClr w14:val="tx1"/>
            </w14:solidFill>
          </w14:textFill>
        </w:rPr>
        <w:t>一、招商合作模式</w:t>
      </w:r>
      <w:bookmarkEnd w:id="55"/>
      <w:bookmarkEnd w:id="56"/>
    </w:p>
    <w:p w14:paraId="0261819A">
      <w:pPr>
        <w:spacing w:line="580" w:lineRule="exact"/>
        <w:ind w:firstLine="640" w:firstLineChars="200"/>
        <w:rPr>
          <w:rFonts w:ascii="仿宋_GB2312" w:hAnsi="宋体" w:cs="宋体"/>
          <w:sz w:val="32"/>
          <w:szCs w:val="32"/>
        </w:rPr>
      </w:pPr>
      <w:r>
        <w:rPr>
          <w:rFonts w:hint="eastAsia" w:ascii="仿宋_GB2312" w:hAnsi="宋体" w:cs="宋体"/>
          <w:sz w:val="32"/>
          <w:szCs w:val="32"/>
        </w:rPr>
        <w:t>合作、合资、独资</w:t>
      </w:r>
    </w:p>
    <w:p w14:paraId="216114DF">
      <w:pPr>
        <w:pStyle w:val="3"/>
        <w:spacing w:before="0" w:after="0" w:line="580" w:lineRule="exact"/>
        <w:ind w:firstLine="643" w:firstLineChars="200"/>
        <w:rPr>
          <w:rFonts w:ascii="黑体" w:hAnsi="黑体" w:eastAsia="黑体" w:cs="宋体"/>
          <w:color w:val="000000" w:themeColor="text1"/>
          <w:sz w:val="32"/>
          <w14:textFill>
            <w14:solidFill>
              <w14:schemeClr w14:val="tx1"/>
            </w14:solidFill>
          </w14:textFill>
        </w:rPr>
      </w:pPr>
      <w:bookmarkStart w:id="58" w:name="_Toc76725796"/>
      <w:bookmarkStart w:id="59" w:name="_Toc78208242"/>
      <w:r>
        <w:rPr>
          <w:rFonts w:ascii="黑体" w:hAnsi="黑体" w:eastAsia="黑体" w:cs="宋体"/>
          <w:color w:val="000000" w:themeColor="text1"/>
          <w:sz w:val="32"/>
          <w14:textFill>
            <w14:solidFill>
              <w14:schemeClr w14:val="tx1"/>
            </w14:solidFill>
          </w14:textFill>
        </w:rPr>
        <w:t>二、招商引资优惠政策</w:t>
      </w:r>
      <w:bookmarkEnd w:id="58"/>
      <w:bookmarkEnd w:id="59"/>
    </w:p>
    <w:p w14:paraId="5D141082">
      <w:pPr>
        <w:snapToGrid w:val="0"/>
        <w:spacing w:line="580" w:lineRule="exact"/>
        <w:ind w:firstLine="640" w:firstLineChars="200"/>
        <w:rPr>
          <w:rFonts w:ascii="仿宋_GB2312" w:hAnsi="Times New Roman" w:cs="Times New Roman"/>
          <w:bCs/>
          <w:sz w:val="32"/>
          <w:szCs w:val="32"/>
        </w:rPr>
      </w:pPr>
      <w:r>
        <w:rPr>
          <w:rFonts w:hint="eastAsia" w:ascii="仿宋_GB2312" w:hAnsi="Times New Roman" w:cs="Times New Roman"/>
          <w:bCs/>
          <w:sz w:val="32"/>
          <w:szCs w:val="32"/>
        </w:rPr>
        <w:t>本项目除享受国家及贵州省出台的相关招商引资优惠政策外，还享受贵阳市、息烽县招商引资相关优惠政策，政策包含但不限于《贵阳市产业大招商政策措施》《息烽县招商引资奖励办法》《息烽县招商引资政策》《息烽县关于鼓励发展总部经济的措施》等。</w:t>
      </w:r>
    </w:p>
    <w:p w14:paraId="6D3A7635">
      <w:pPr>
        <w:snapToGrid w:val="0"/>
        <w:spacing w:line="580" w:lineRule="exact"/>
        <w:ind w:firstLine="643" w:firstLineChars="200"/>
        <w:rPr>
          <w:rFonts w:ascii="仿宋_GB2312" w:hAnsi="Times New Roman" w:cs="Times New Roman"/>
          <w:b/>
          <w:sz w:val="32"/>
          <w:szCs w:val="32"/>
        </w:rPr>
      </w:pPr>
      <w:r>
        <w:rPr>
          <w:rFonts w:hint="eastAsia" w:ascii="仿宋_GB2312" w:hAnsi="Times New Roman" w:cs="Times New Roman"/>
          <w:b/>
          <w:sz w:val="32"/>
          <w:szCs w:val="32"/>
        </w:rPr>
        <w:t>固定资产投资奖励</w:t>
      </w:r>
    </w:p>
    <w:p w14:paraId="1AD71719">
      <w:pPr>
        <w:snapToGrid w:val="0"/>
        <w:spacing w:line="580" w:lineRule="exact"/>
        <w:ind w:firstLine="640" w:firstLineChars="200"/>
        <w:rPr>
          <w:rFonts w:ascii="仿宋_GB2312" w:hAnsi="Times New Roman" w:cs="Times New Roman"/>
          <w:bCs/>
          <w:sz w:val="32"/>
          <w:szCs w:val="32"/>
        </w:rPr>
      </w:pPr>
      <w:r>
        <w:rPr>
          <w:rFonts w:hint="eastAsia" w:ascii="仿宋_GB2312" w:hAnsi="Times New Roman" w:cs="Times New Roman"/>
          <w:bCs/>
          <w:sz w:val="32"/>
          <w:szCs w:val="32"/>
        </w:rPr>
        <w:t>经市级工业、统计主管部门共同认定且已纳入固定资产投资法定统计的新引进工业项目，固定资产投资</w:t>
      </w:r>
      <w:r>
        <w:rPr>
          <w:rFonts w:ascii="仿宋_GB2312" w:hAnsi="Times New Roman" w:cs="Times New Roman"/>
          <w:bCs/>
          <w:sz w:val="32"/>
          <w:szCs w:val="32"/>
        </w:rPr>
        <w:t>1亿元及以上（不含土地出让/划拨费用，下同），项目落地清镇市、修文县、息烽县、开阳县投资强度达到150万元/亩且产出强度达到300万元/亩以上的，其他区域投资强度达到250万元/亩且产出强度达到500万元/亩以上的，根据固定资产投资额给予奖励：1亿元至5亿元（不含5亿元）的给予5万元/亩奖励；5亿元至10亿元（不含10亿元）的给予10万元/亩奖励；对投资强度、产出强度超过基准，固定资产投资额10亿元以上的项目，采取“一</w:t>
      </w:r>
      <w:r>
        <w:rPr>
          <w:rFonts w:hint="eastAsia" w:ascii="仿宋_GB2312" w:hAnsi="Times New Roman" w:cs="Times New Roman"/>
          <w:bCs/>
          <w:sz w:val="32"/>
          <w:szCs w:val="32"/>
        </w:rPr>
        <w:t>企一策”方式确定奖励额度。</w:t>
      </w:r>
    </w:p>
    <w:p w14:paraId="0698309B">
      <w:pPr>
        <w:snapToGrid w:val="0"/>
        <w:spacing w:line="580" w:lineRule="exact"/>
        <w:ind w:firstLine="643" w:firstLineChars="200"/>
        <w:rPr>
          <w:rFonts w:ascii="仿宋_GB2312" w:hAnsi="Times New Roman" w:cs="Times New Roman"/>
          <w:b/>
          <w:sz w:val="32"/>
          <w:szCs w:val="32"/>
        </w:rPr>
      </w:pPr>
      <w:r>
        <w:rPr>
          <w:rFonts w:hint="eastAsia" w:ascii="仿宋_GB2312" w:hAnsi="Times New Roman" w:cs="Times New Roman"/>
          <w:b/>
          <w:sz w:val="32"/>
          <w:szCs w:val="32"/>
        </w:rPr>
        <w:t>标准厂房租赁补助</w:t>
      </w:r>
    </w:p>
    <w:p w14:paraId="4F68FA8A">
      <w:pPr>
        <w:snapToGrid w:val="0"/>
        <w:spacing w:line="580" w:lineRule="exact"/>
        <w:ind w:firstLine="640" w:firstLineChars="200"/>
        <w:rPr>
          <w:rFonts w:ascii="仿宋_GB2312" w:hAnsi="Times New Roman" w:cs="Times New Roman"/>
          <w:bCs/>
          <w:sz w:val="32"/>
          <w:szCs w:val="32"/>
        </w:rPr>
      </w:pPr>
      <w:r>
        <w:rPr>
          <w:rFonts w:hint="eastAsia" w:ascii="仿宋_GB2312" w:hAnsi="Times New Roman" w:cs="Times New Roman"/>
          <w:bCs/>
          <w:sz w:val="32"/>
          <w:szCs w:val="32"/>
        </w:rPr>
        <w:t>工业用地需求在</w:t>
      </w:r>
      <w:r>
        <w:rPr>
          <w:rFonts w:ascii="仿宋_GB2312" w:hAnsi="Times New Roman" w:cs="Times New Roman"/>
          <w:bCs/>
          <w:sz w:val="32"/>
          <w:szCs w:val="32"/>
        </w:rPr>
        <w:t>20亩以内的企业，鼓励通过租赁工业园区内标准厂房解决生产经营场所。厂房租金补助年限为5年，第一年按100%补助。第二年至第五年，对当年平均市级经济贡献额度每平方米200元以下的，按厂房租金的50%给予补助；对当年平均市级经济贡献额度每平方米200元至400元（不含400元）的，按厂房租金的75%给予补助；对当年平均市级经济贡献额度每平方米400元及以上的，按厂房租金的100%给予补助。</w:t>
      </w:r>
    </w:p>
    <w:p w14:paraId="1726DC30">
      <w:pPr>
        <w:snapToGrid w:val="0"/>
        <w:spacing w:line="580" w:lineRule="exact"/>
        <w:ind w:firstLine="643" w:firstLineChars="200"/>
        <w:rPr>
          <w:rFonts w:ascii="仿宋_GB2312" w:hAnsi="Times New Roman" w:cs="Times New Roman"/>
          <w:b/>
          <w:sz w:val="32"/>
          <w:szCs w:val="32"/>
        </w:rPr>
      </w:pPr>
      <w:r>
        <w:rPr>
          <w:rFonts w:hint="eastAsia" w:ascii="仿宋_GB2312" w:hAnsi="Times New Roman" w:cs="Times New Roman"/>
          <w:b/>
          <w:sz w:val="32"/>
          <w:szCs w:val="32"/>
        </w:rPr>
        <w:t>用地优惠</w:t>
      </w:r>
    </w:p>
    <w:p w14:paraId="0C048E57">
      <w:pPr>
        <w:snapToGrid w:val="0"/>
        <w:spacing w:line="580" w:lineRule="exact"/>
        <w:ind w:firstLine="640" w:firstLineChars="200"/>
        <w:rPr>
          <w:rFonts w:ascii="仿宋_GB2312" w:hAnsi="Times New Roman" w:cs="Times New Roman"/>
          <w:bCs/>
          <w:sz w:val="32"/>
          <w:szCs w:val="32"/>
        </w:rPr>
      </w:pPr>
      <w:r>
        <w:rPr>
          <w:rFonts w:hint="eastAsia" w:ascii="仿宋_GB2312" w:hAnsi="Times New Roman" w:cs="Times New Roman"/>
          <w:bCs/>
          <w:sz w:val="32"/>
          <w:szCs w:val="32"/>
        </w:rPr>
        <w:t>第五条入驻我县产业园区投资建设医疗器械、特色食品生产、先进装备制造业、新型建材等我县主导工业产业项目的企业，项目建设用地控制指标达到《贵州省产业园区工业项目建设用地控制指标》规定，投资强度达到</w:t>
      </w:r>
      <w:r>
        <w:rPr>
          <w:rFonts w:ascii="仿宋_GB2312" w:hAnsi="Times New Roman" w:cs="Times New Roman"/>
          <w:bCs/>
          <w:sz w:val="32"/>
          <w:szCs w:val="32"/>
        </w:rPr>
        <w:t>100万元人民币/亩的，项目建设用地出让后优惠底价按12万元人民币/亩确定。</w:t>
      </w:r>
    </w:p>
    <w:p w14:paraId="13A7DF51">
      <w:pPr>
        <w:snapToGrid w:val="0"/>
        <w:spacing w:line="580" w:lineRule="exact"/>
        <w:ind w:firstLine="640" w:firstLineChars="200"/>
        <w:rPr>
          <w:rFonts w:ascii="仿宋_GB2312" w:hAnsi="Times New Roman" w:cs="Times New Roman"/>
          <w:bCs/>
          <w:sz w:val="32"/>
          <w:szCs w:val="32"/>
        </w:rPr>
      </w:pPr>
      <w:r>
        <w:rPr>
          <w:rFonts w:hint="eastAsia" w:ascii="仿宋_GB2312" w:hAnsi="Times New Roman" w:cs="Times New Roman"/>
          <w:bCs/>
          <w:sz w:val="32"/>
          <w:szCs w:val="32"/>
        </w:rPr>
        <w:t>符合第五条规定的工业产业项目投资强度、容积率、建筑系数三项指标在《贵州省产业园区工业项目建设用地控制指标》基础上再增加的，依照《息烽县产业园区工业地价优惠标准》，对照指标增加幅度，在第五条所述出让土地优惠底价基础上再给予最高可达</w:t>
      </w:r>
      <w:r>
        <w:rPr>
          <w:rFonts w:ascii="仿宋_GB2312" w:hAnsi="Times New Roman" w:cs="Times New Roman"/>
          <w:bCs/>
          <w:sz w:val="32"/>
          <w:szCs w:val="32"/>
        </w:rPr>
        <w:t>50%的优惠。</w:t>
      </w:r>
    </w:p>
    <w:p w14:paraId="299D1337">
      <w:pPr>
        <w:snapToGrid w:val="0"/>
        <w:spacing w:line="580" w:lineRule="exact"/>
        <w:ind w:firstLine="643" w:firstLineChars="200"/>
        <w:rPr>
          <w:rFonts w:ascii="仿宋_GB2312" w:hAnsi="Times New Roman" w:cs="Times New Roman"/>
          <w:b/>
          <w:sz w:val="32"/>
          <w:szCs w:val="32"/>
        </w:rPr>
      </w:pPr>
      <w:r>
        <w:rPr>
          <w:rFonts w:hint="eastAsia" w:ascii="仿宋_GB2312" w:hAnsi="Times New Roman" w:cs="Times New Roman"/>
          <w:b/>
          <w:sz w:val="32"/>
          <w:szCs w:val="32"/>
        </w:rPr>
        <w:t>投资奖励</w:t>
      </w:r>
    </w:p>
    <w:p w14:paraId="0EC12FBB">
      <w:pPr>
        <w:snapToGrid w:val="0"/>
        <w:spacing w:line="580" w:lineRule="exact"/>
        <w:ind w:firstLine="640" w:firstLineChars="200"/>
        <w:rPr>
          <w:rFonts w:ascii="仿宋_GB2312" w:hAnsi="Times New Roman" w:cs="Times New Roman"/>
          <w:bCs/>
          <w:sz w:val="32"/>
          <w:szCs w:val="32"/>
        </w:rPr>
      </w:pPr>
      <w:r>
        <w:rPr>
          <w:rFonts w:hint="eastAsia" w:ascii="仿宋_GB2312" w:hAnsi="Times New Roman" w:cs="Times New Roman"/>
          <w:bCs/>
          <w:sz w:val="32"/>
          <w:szCs w:val="32"/>
        </w:rPr>
        <w:t>项目引进资金系县外资金，按项目实际完成投资额的</w:t>
      </w:r>
      <w:r>
        <w:rPr>
          <w:rFonts w:ascii="仿宋_GB2312" w:hAnsi="Times New Roman" w:cs="Times New Roman"/>
          <w:bCs/>
          <w:sz w:val="32"/>
          <w:szCs w:val="32"/>
        </w:rPr>
        <w:t>3‰给予奖励（项目运营所需流动资金投入不计入项目实际完成投资额内）。如项目属于我县投资促进部门主动宣传推介的重点招商引资项目，则上浮奖励标准20%，按项目实际完成投资额的3.6‰给予奖励。单个项目最高奖励金额不超过500万元人民币。</w:t>
      </w:r>
    </w:p>
    <w:p w14:paraId="63AA3D3A">
      <w:pPr>
        <w:snapToGrid w:val="0"/>
        <w:spacing w:line="580" w:lineRule="exact"/>
        <w:ind w:firstLine="640" w:firstLineChars="200"/>
        <w:rPr>
          <w:rFonts w:ascii="仿宋_GB2312" w:hAnsi="Times New Roman" w:cs="Times New Roman"/>
          <w:bCs/>
          <w:sz w:val="32"/>
          <w:szCs w:val="32"/>
        </w:rPr>
      </w:pPr>
      <w:r>
        <w:rPr>
          <w:rFonts w:hint="eastAsia" w:ascii="仿宋_GB2312" w:hAnsi="Times New Roman" w:cs="Times New Roman"/>
          <w:bCs/>
          <w:sz w:val="32"/>
          <w:szCs w:val="32"/>
        </w:rPr>
        <w:t>如引进项目的投资人或控股投资人（多方合作投资的情况下）为世界</w:t>
      </w:r>
      <w:r>
        <w:rPr>
          <w:rFonts w:ascii="仿宋_GB2312" w:hAnsi="Times New Roman" w:cs="Times New Roman"/>
          <w:bCs/>
          <w:sz w:val="32"/>
          <w:szCs w:val="32"/>
        </w:rPr>
        <w:t>500强、国内500强、国内民企500强企业，对引资人除给予上述奖励外，再分别一次性给予30万元人民币、15万元人民币、5万元人民币的奖励（如投资人同时符合以上两项或三项条件的，以高限进行奖励）。如项目同时符合申请省级奖励办法第四条第三款规定的奖励的条件要求，省级奖励办法确定的奖励金额中由县级财政承担的部分不再重复进行奖励。</w:t>
      </w:r>
    </w:p>
    <w:p w14:paraId="3CBB5D94">
      <w:pPr>
        <w:snapToGrid w:val="0"/>
        <w:spacing w:line="580" w:lineRule="exact"/>
        <w:ind w:firstLine="640" w:firstLineChars="200"/>
        <w:rPr>
          <w:rFonts w:ascii="仿宋_GB2312" w:hAnsi="Times New Roman" w:cs="Times New Roman"/>
          <w:bCs/>
          <w:sz w:val="32"/>
          <w:szCs w:val="32"/>
        </w:rPr>
      </w:pPr>
      <w:r>
        <w:rPr>
          <w:rFonts w:hint="eastAsia" w:ascii="仿宋_GB2312" w:hAnsi="Times New Roman" w:cs="Times New Roman"/>
          <w:bCs/>
          <w:sz w:val="32"/>
          <w:szCs w:val="32"/>
        </w:rPr>
        <w:t>新投资项目在投资协议约定期限内建成运营后，第一个完整纳税年度内营业收入达到</w:t>
      </w:r>
      <w:r>
        <w:rPr>
          <w:rFonts w:ascii="仿宋_GB2312" w:hAnsi="Times New Roman" w:cs="Times New Roman"/>
          <w:bCs/>
          <w:sz w:val="32"/>
          <w:szCs w:val="32"/>
        </w:rPr>
        <w:t>5000万元人民币或成为对我县地方财政实际贡献前10强的企业，给予其当年对地方财政实际贡献15%额度的奖励，最高不超过100万元人民币。</w:t>
      </w:r>
    </w:p>
    <w:p w14:paraId="7F51A8A2">
      <w:pPr>
        <w:snapToGrid w:val="0"/>
        <w:spacing w:line="580" w:lineRule="exact"/>
        <w:ind w:firstLine="640" w:firstLineChars="200"/>
        <w:rPr>
          <w:rFonts w:ascii="仿宋_GB2312" w:hAnsi="Times New Roman" w:cs="Times New Roman"/>
          <w:bCs/>
          <w:sz w:val="32"/>
          <w:szCs w:val="32"/>
        </w:rPr>
      </w:pPr>
      <w:r>
        <w:rPr>
          <w:rFonts w:hint="eastAsia" w:ascii="仿宋_GB2312" w:hAnsi="Times New Roman" w:cs="Times New Roman"/>
          <w:bCs/>
          <w:sz w:val="32"/>
          <w:szCs w:val="32"/>
        </w:rPr>
        <w:t>对世界</w:t>
      </w:r>
      <w:r>
        <w:rPr>
          <w:rFonts w:ascii="仿宋_GB2312" w:hAnsi="Times New Roman" w:cs="Times New Roman"/>
          <w:bCs/>
          <w:sz w:val="32"/>
          <w:szCs w:val="32"/>
        </w:rPr>
        <w:t>500强企业在我县新设立的外资企业，实缴投资达到1000万美元、2000万美元、5000万美元的，经认定后分别给予200万元人民币、300万元人民币、500万元人民币的奖励；非世界500强企业新设立的外资企业实缴投资达到本条上述有关规定的，按本条上述奖励标准减半给予相应奖励。</w:t>
      </w:r>
    </w:p>
    <w:p w14:paraId="20F53D77">
      <w:pPr>
        <w:snapToGrid w:val="0"/>
        <w:spacing w:line="580" w:lineRule="exact"/>
        <w:ind w:firstLine="643" w:firstLineChars="200"/>
        <w:rPr>
          <w:rFonts w:ascii="仿宋_GB2312" w:hAnsi="Times New Roman" w:cs="Times New Roman"/>
          <w:b/>
          <w:bCs/>
          <w:sz w:val="32"/>
          <w:szCs w:val="32"/>
        </w:rPr>
      </w:pPr>
      <w:r>
        <w:rPr>
          <w:rFonts w:ascii="仿宋_GB2312" w:hAnsi="Times New Roman" w:cs="Times New Roman"/>
          <w:b/>
          <w:bCs/>
          <w:sz w:val="32"/>
          <w:szCs w:val="32"/>
        </w:rPr>
        <w:t>总部经济</w:t>
      </w:r>
    </w:p>
    <w:p w14:paraId="07070603">
      <w:pPr>
        <w:snapToGrid w:val="0"/>
        <w:spacing w:line="580" w:lineRule="exact"/>
        <w:ind w:firstLine="640" w:firstLineChars="200"/>
        <w:rPr>
          <w:rFonts w:ascii="仿宋_GB2312" w:hAnsi="Times New Roman" w:cs="Times New Roman"/>
          <w:bCs/>
          <w:sz w:val="32"/>
          <w:szCs w:val="32"/>
        </w:rPr>
      </w:pPr>
      <w:r>
        <w:rPr>
          <w:rFonts w:hint="eastAsia" w:ascii="仿宋_GB2312" w:hAnsi="Times New Roman" w:cs="Times New Roman"/>
          <w:bCs/>
          <w:sz w:val="32"/>
          <w:szCs w:val="32"/>
        </w:rPr>
        <w:t>对新设立的总部企业给予重点扶持。年纳税县级分成在</w:t>
      </w:r>
      <w:r>
        <w:rPr>
          <w:rFonts w:ascii="仿宋_GB2312" w:hAnsi="Times New Roman" w:cs="Times New Roman"/>
          <w:bCs/>
          <w:sz w:val="32"/>
          <w:szCs w:val="32"/>
        </w:rPr>
        <w:t>500万元（含500万）以上的，第一年按当年缴纳税收县级分成部分的50%给予奖励，第二年、第三年分别按40%、30%奖励，以后均按25%给予奖励。年纳税县级分成在500万元（不含500万）以下的，从第一年起按年纳税额中县级分成部分的25%给予奖励。</w:t>
      </w:r>
    </w:p>
    <w:p w14:paraId="55C0FD76">
      <w:pPr>
        <w:snapToGrid w:val="0"/>
        <w:spacing w:line="580" w:lineRule="exact"/>
        <w:ind w:firstLine="640" w:firstLineChars="200"/>
        <w:rPr>
          <w:rFonts w:ascii="仿宋_GB2312" w:hAnsi="Times New Roman" w:cs="Times New Roman"/>
          <w:bCs/>
          <w:sz w:val="32"/>
          <w:szCs w:val="32"/>
        </w:rPr>
      </w:pPr>
      <w:r>
        <w:rPr>
          <w:rFonts w:hint="eastAsia" w:ascii="仿宋_GB2312" w:hAnsi="Times New Roman" w:cs="Times New Roman"/>
          <w:bCs/>
          <w:sz w:val="32"/>
          <w:szCs w:val="32"/>
        </w:rPr>
        <w:t>对总部企业高层管理人员给予奖励。总部企业高层管理人员（公司副总以上人员）在县内缴纳个人所得税中县级所得的</w:t>
      </w:r>
      <w:r>
        <w:rPr>
          <w:rFonts w:ascii="仿宋_GB2312" w:hAnsi="Times New Roman" w:cs="Times New Roman"/>
          <w:bCs/>
          <w:sz w:val="32"/>
          <w:szCs w:val="32"/>
        </w:rPr>
        <w:t>80%用于奖励高层管理人员。</w:t>
      </w:r>
    </w:p>
    <w:p w14:paraId="60AF3696">
      <w:pPr>
        <w:snapToGrid w:val="0"/>
        <w:spacing w:line="580" w:lineRule="exact"/>
        <w:ind w:firstLine="640" w:firstLineChars="200"/>
        <w:rPr>
          <w:rFonts w:ascii="仿宋_GB2312" w:hAnsi="Times New Roman" w:cs="Times New Roman"/>
          <w:bCs/>
          <w:sz w:val="32"/>
          <w:szCs w:val="32"/>
        </w:rPr>
      </w:pPr>
      <w:r>
        <w:rPr>
          <w:rFonts w:hint="eastAsia" w:ascii="仿宋_GB2312" w:hAnsi="Times New Roman" w:cs="Times New Roman"/>
          <w:bCs/>
          <w:sz w:val="32"/>
          <w:szCs w:val="32"/>
        </w:rPr>
        <w:t>对重点总部企业的优惠政策“一事一议”。对世界</w:t>
      </w:r>
      <w:r>
        <w:rPr>
          <w:rFonts w:ascii="仿宋_GB2312" w:hAnsi="Times New Roman" w:cs="Times New Roman"/>
          <w:bCs/>
          <w:sz w:val="32"/>
          <w:szCs w:val="32"/>
        </w:rPr>
        <w:t>500强企业、上市公司、国家级高新技术企业在县内设立的具有独立法人及核算资格的区域性总部或研发中心、营销中心等分支机构，年纳税县级分成超5000万元的，可在上述优惠措施的基础上采取“一事一议”的办法研究更加优惠的扶持政策。</w:t>
      </w:r>
    </w:p>
    <w:p w14:paraId="310550FB">
      <w:pPr>
        <w:pStyle w:val="3"/>
        <w:spacing w:before="0" w:after="0" w:line="580" w:lineRule="exact"/>
        <w:ind w:firstLine="643" w:firstLineChars="200"/>
        <w:rPr>
          <w:rFonts w:ascii="黑体" w:hAnsi="黑体" w:eastAsia="黑体" w:cs="宋体"/>
          <w:color w:val="000000" w:themeColor="text1"/>
          <w:sz w:val="32"/>
          <w14:textFill>
            <w14:solidFill>
              <w14:schemeClr w14:val="tx1"/>
            </w14:solidFill>
          </w14:textFill>
        </w:rPr>
      </w:pPr>
      <w:bookmarkStart w:id="60" w:name="_Toc76725797"/>
      <w:bookmarkStart w:id="61" w:name="_Toc78208243"/>
      <w:r>
        <w:rPr>
          <w:rFonts w:ascii="黑体" w:hAnsi="黑体" w:eastAsia="黑体" w:cs="宋体"/>
          <w:color w:val="000000" w:themeColor="text1"/>
          <w:sz w:val="32"/>
          <w14:textFill>
            <w14:solidFill>
              <w14:schemeClr w14:val="tx1"/>
            </w14:solidFill>
          </w14:textFill>
        </w:rPr>
        <w:t>三、项目投资流程</w:t>
      </w:r>
      <w:bookmarkEnd w:id="60"/>
      <w:bookmarkEnd w:id="61"/>
    </w:p>
    <w:bookmarkEnd w:id="57"/>
    <w:p w14:paraId="7931959D">
      <w:pPr>
        <w:spacing w:line="580" w:lineRule="exact"/>
        <w:jc w:val="center"/>
        <w:rPr>
          <w:rFonts w:ascii="仿宋_GB2312" w:hAnsi="宋体" w:cs="宋体"/>
          <w:b/>
          <w:bCs/>
          <w:szCs w:val="28"/>
        </w:rPr>
      </w:pPr>
      <w:r>
        <w:rPr>
          <w:rFonts w:hint="eastAsia" w:ascii="仿宋_GB2312" w:hAnsi="宋体" w:cs="宋体"/>
          <w:b/>
          <w:bCs/>
          <w:szCs w:val="28"/>
        </w:rPr>
        <w:t>图表 1</w:t>
      </w:r>
      <w:r>
        <w:rPr>
          <w:rFonts w:ascii="仿宋_GB2312" w:hAnsi="宋体" w:cs="宋体"/>
          <w:b/>
          <w:bCs/>
          <w:szCs w:val="28"/>
        </w:rPr>
        <w:t>4</w:t>
      </w:r>
      <w:r>
        <w:rPr>
          <w:rFonts w:hint="eastAsia" w:ascii="仿宋_GB2312" w:hAnsi="宋体" w:cs="宋体"/>
          <w:b/>
          <w:bCs/>
          <w:szCs w:val="28"/>
        </w:rPr>
        <w:t xml:space="preserve">  项目投资流程图</w:t>
      </w:r>
    </w:p>
    <w:p w14:paraId="0B9F2BA3">
      <w:pPr>
        <w:jc w:val="center"/>
      </w:pPr>
      <w:r>
        <w:drawing>
          <wp:inline distT="0" distB="0" distL="0" distR="0">
            <wp:extent cx="5615940" cy="2557780"/>
            <wp:effectExtent l="0" t="0" r="381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7"/>
                    <a:stretch>
                      <a:fillRect/>
                    </a:stretch>
                  </pic:blipFill>
                  <pic:spPr>
                    <a:xfrm>
                      <a:off x="0" y="0"/>
                      <a:ext cx="5615940" cy="2557780"/>
                    </a:xfrm>
                    <a:prstGeom prst="rect">
                      <a:avLst/>
                    </a:prstGeom>
                  </pic:spPr>
                </pic:pic>
              </a:graphicData>
            </a:graphic>
          </wp:inline>
        </w:drawing>
      </w:r>
    </w:p>
    <w:sectPr>
      <w:headerReference r:id="rId7" w:type="default"/>
      <w:pgSz w:w="11906" w:h="16838"/>
      <w:pgMar w:top="2098" w:right="1474" w:bottom="1985" w:left="1588" w:header="851" w:footer="1418" w:gutter="0"/>
      <w:pgNumType w:start="1"/>
      <w:cols w:space="425" w:num="1"/>
      <w:docGrid w:linePitch="38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Calibri Light">
    <w:panose1 w:val="020F0302020204030204"/>
    <w:charset w:val="00"/>
    <w:family w:val="swiss"/>
    <w:pitch w:val="default"/>
    <w:sig w:usb0="A00002EF" w:usb1="4000207B" w:usb2="00000000" w:usb3="00000000" w:csb0="2000019F" w:csb1="00000000"/>
  </w:font>
  <w:font w:name="Helvetica">
    <w:altName w:val="Arial"/>
    <w:panose1 w:val="020B0604020202020204"/>
    <w:charset w:val="00"/>
    <w:family w:val="swiss"/>
    <w:pitch w:val="default"/>
    <w:sig w:usb0="00000000" w:usb1="00000000" w:usb2="00000009" w:usb3="00000000" w:csb0="000001FF" w:csb1="00000000"/>
  </w:font>
  <w:font w:name="方正小标宋简体">
    <w:panose1 w:val="02010601030101010101"/>
    <w:charset w:val="86"/>
    <w:family w:val="auto"/>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等线(西文正文)">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49349882"/>
    </w:sdtPr>
    <w:sdtEndPr>
      <w:rPr>
        <w:rFonts w:hint="eastAsia" w:ascii="等线(西文正文)" w:hAnsi="等线(西文正文)" w:eastAsia="等线(西文正文)" w:cs="等线(西文正文)"/>
      </w:rPr>
    </w:sdtEndPr>
    <w:sdtContent>
      <w:p w14:paraId="50E2E61F">
        <w:pPr>
          <w:pStyle w:val="6"/>
          <w:jc w:val="center"/>
          <w:rPr>
            <w:rFonts w:ascii="等线(西文正文)" w:hAnsi="等线(西文正文)" w:eastAsia="等线(西文正文)" w:cs="等线(西文正文)"/>
          </w:rPr>
        </w:pPr>
        <w:r>
          <w:rPr>
            <w:rFonts w:hint="eastAsia" w:ascii="等线(西文正文)" w:hAnsi="等线(西文正文)" w:eastAsia="等线(西文正文)" w:cs="等线(西文正文)"/>
          </w:rPr>
          <w:fldChar w:fldCharType="begin"/>
        </w:r>
        <w:r>
          <w:rPr>
            <w:rFonts w:hint="eastAsia" w:ascii="等线(西文正文)" w:hAnsi="等线(西文正文)" w:eastAsia="等线(西文正文)" w:cs="等线(西文正文)"/>
          </w:rPr>
          <w:instrText xml:space="preserve">PAGE   \* MERGEFORMAT</w:instrText>
        </w:r>
        <w:r>
          <w:rPr>
            <w:rFonts w:hint="eastAsia" w:ascii="等线(西文正文)" w:hAnsi="等线(西文正文)" w:eastAsia="等线(西文正文)" w:cs="等线(西文正文)"/>
          </w:rPr>
          <w:fldChar w:fldCharType="separate"/>
        </w:r>
        <w:r>
          <w:rPr>
            <w:rFonts w:ascii="等线(西文正文)" w:hAnsi="等线(西文正文)" w:eastAsia="等线(西文正文)" w:cs="等线(西文正文)"/>
            <w:lang w:val="zh-CN"/>
          </w:rPr>
          <w:t>II</w:t>
        </w:r>
        <w:r>
          <w:rPr>
            <w:rFonts w:hint="eastAsia" w:ascii="等线(西文正文)" w:hAnsi="等线(西文正文)" w:eastAsia="等线(西文正文)" w:cs="等线(西文正文)"/>
          </w:rPr>
          <w:fldChar w:fldCharType="end"/>
        </w:r>
      </w:p>
    </w:sdtContent>
  </w:sdt>
  <w:p w14:paraId="44081696">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99D300">
    <w:pPr>
      <w:pStyle w:val="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D66E7A">
    <w:pPr>
      <w:pStyle w:val="7"/>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D187DE"/>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0B60A3"/>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cumentProtection w:enforcement="0"/>
  <w:defaultTabStop w:val="420"/>
  <w:drawingGridHorizontalSpacing w:val="140"/>
  <w:drawingGridVerticalSpacing w:val="381"/>
  <w:displayHorizontalDrawingGridEvery w:val="0"/>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BhYzQyYzA4Yzg3OWE3ZTI2MTdjOWJhYTc3MTQ2MDIifQ=="/>
  </w:docVars>
  <w:rsids>
    <w:rsidRoot w:val="00632934"/>
    <w:rsid w:val="00015F54"/>
    <w:rsid w:val="000225B5"/>
    <w:rsid w:val="00023E2D"/>
    <w:rsid w:val="00034223"/>
    <w:rsid w:val="00034FA3"/>
    <w:rsid w:val="000401E8"/>
    <w:rsid w:val="00061669"/>
    <w:rsid w:val="00063944"/>
    <w:rsid w:val="00067DF5"/>
    <w:rsid w:val="00072068"/>
    <w:rsid w:val="00083ABC"/>
    <w:rsid w:val="00086B42"/>
    <w:rsid w:val="000944BA"/>
    <w:rsid w:val="000979DF"/>
    <w:rsid w:val="000B777B"/>
    <w:rsid w:val="000D0E0E"/>
    <w:rsid w:val="000D6214"/>
    <w:rsid w:val="000D623E"/>
    <w:rsid w:val="000F0730"/>
    <w:rsid w:val="00100074"/>
    <w:rsid w:val="00117875"/>
    <w:rsid w:val="001307C1"/>
    <w:rsid w:val="00146BF3"/>
    <w:rsid w:val="001514DE"/>
    <w:rsid w:val="00153B7E"/>
    <w:rsid w:val="00155AA6"/>
    <w:rsid w:val="001675C5"/>
    <w:rsid w:val="0017187B"/>
    <w:rsid w:val="00186D28"/>
    <w:rsid w:val="001A01C2"/>
    <w:rsid w:val="001A4DEE"/>
    <w:rsid w:val="001B7E54"/>
    <w:rsid w:val="001C5700"/>
    <w:rsid w:val="001E79F6"/>
    <w:rsid w:val="001F0364"/>
    <w:rsid w:val="001F321D"/>
    <w:rsid w:val="00231BB4"/>
    <w:rsid w:val="0024671F"/>
    <w:rsid w:val="00260A98"/>
    <w:rsid w:val="00267AC6"/>
    <w:rsid w:val="002928CE"/>
    <w:rsid w:val="00296A36"/>
    <w:rsid w:val="002A12F7"/>
    <w:rsid w:val="002A3F7E"/>
    <w:rsid w:val="002A52C7"/>
    <w:rsid w:val="002B6A64"/>
    <w:rsid w:val="002C1401"/>
    <w:rsid w:val="002C1CE6"/>
    <w:rsid w:val="002D21A6"/>
    <w:rsid w:val="003066C5"/>
    <w:rsid w:val="003146F3"/>
    <w:rsid w:val="003210DB"/>
    <w:rsid w:val="00345288"/>
    <w:rsid w:val="003860B8"/>
    <w:rsid w:val="0039310E"/>
    <w:rsid w:val="003A755C"/>
    <w:rsid w:val="003D5A2D"/>
    <w:rsid w:val="0044241B"/>
    <w:rsid w:val="00463DF8"/>
    <w:rsid w:val="004744F9"/>
    <w:rsid w:val="004832C8"/>
    <w:rsid w:val="004D3563"/>
    <w:rsid w:val="004E2217"/>
    <w:rsid w:val="004F61B5"/>
    <w:rsid w:val="00515382"/>
    <w:rsid w:val="00533229"/>
    <w:rsid w:val="00533F20"/>
    <w:rsid w:val="00534171"/>
    <w:rsid w:val="00544D66"/>
    <w:rsid w:val="00554A25"/>
    <w:rsid w:val="005812B2"/>
    <w:rsid w:val="00591BEE"/>
    <w:rsid w:val="005B1712"/>
    <w:rsid w:val="005B67A8"/>
    <w:rsid w:val="005E7DEB"/>
    <w:rsid w:val="005F077D"/>
    <w:rsid w:val="005F2865"/>
    <w:rsid w:val="006124AF"/>
    <w:rsid w:val="006157D2"/>
    <w:rsid w:val="0061638B"/>
    <w:rsid w:val="00616B6F"/>
    <w:rsid w:val="006241E7"/>
    <w:rsid w:val="00632934"/>
    <w:rsid w:val="00646A3C"/>
    <w:rsid w:val="00683A1C"/>
    <w:rsid w:val="006863E2"/>
    <w:rsid w:val="006B5871"/>
    <w:rsid w:val="006E20C6"/>
    <w:rsid w:val="00704FE4"/>
    <w:rsid w:val="007165FC"/>
    <w:rsid w:val="00732AB4"/>
    <w:rsid w:val="0075028E"/>
    <w:rsid w:val="00766C96"/>
    <w:rsid w:val="00785F1E"/>
    <w:rsid w:val="007C3103"/>
    <w:rsid w:val="007F40B3"/>
    <w:rsid w:val="00803C74"/>
    <w:rsid w:val="0080525A"/>
    <w:rsid w:val="008122DF"/>
    <w:rsid w:val="00841B15"/>
    <w:rsid w:val="00846360"/>
    <w:rsid w:val="008464C8"/>
    <w:rsid w:val="00852286"/>
    <w:rsid w:val="00860852"/>
    <w:rsid w:val="00864A46"/>
    <w:rsid w:val="008973CD"/>
    <w:rsid w:val="008A170C"/>
    <w:rsid w:val="008A2A04"/>
    <w:rsid w:val="008C1A92"/>
    <w:rsid w:val="008F5E73"/>
    <w:rsid w:val="0091751E"/>
    <w:rsid w:val="009262AA"/>
    <w:rsid w:val="00930FEB"/>
    <w:rsid w:val="00943F73"/>
    <w:rsid w:val="009464BD"/>
    <w:rsid w:val="009509C2"/>
    <w:rsid w:val="0097540A"/>
    <w:rsid w:val="009939EE"/>
    <w:rsid w:val="00993BB9"/>
    <w:rsid w:val="00995DCC"/>
    <w:rsid w:val="009F2E4A"/>
    <w:rsid w:val="009F2F3B"/>
    <w:rsid w:val="00A00B16"/>
    <w:rsid w:val="00A02709"/>
    <w:rsid w:val="00A06419"/>
    <w:rsid w:val="00A10B44"/>
    <w:rsid w:val="00A1357E"/>
    <w:rsid w:val="00A17BA4"/>
    <w:rsid w:val="00A3177A"/>
    <w:rsid w:val="00A405D9"/>
    <w:rsid w:val="00A424E9"/>
    <w:rsid w:val="00A46454"/>
    <w:rsid w:val="00A53744"/>
    <w:rsid w:val="00A6400F"/>
    <w:rsid w:val="00A766C7"/>
    <w:rsid w:val="00A87421"/>
    <w:rsid w:val="00A90660"/>
    <w:rsid w:val="00AA6581"/>
    <w:rsid w:val="00AC3893"/>
    <w:rsid w:val="00AC55FA"/>
    <w:rsid w:val="00AC59FB"/>
    <w:rsid w:val="00AD5239"/>
    <w:rsid w:val="00AE7754"/>
    <w:rsid w:val="00B07C5E"/>
    <w:rsid w:val="00B11ECE"/>
    <w:rsid w:val="00B12B29"/>
    <w:rsid w:val="00B20D34"/>
    <w:rsid w:val="00B248B9"/>
    <w:rsid w:val="00B31361"/>
    <w:rsid w:val="00B33E42"/>
    <w:rsid w:val="00B374DF"/>
    <w:rsid w:val="00B43335"/>
    <w:rsid w:val="00B44167"/>
    <w:rsid w:val="00B71F9A"/>
    <w:rsid w:val="00B9485D"/>
    <w:rsid w:val="00B949D7"/>
    <w:rsid w:val="00BA3FEA"/>
    <w:rsid w:val="00BB0460"/>
    <w:rsid w:val="00BB23F5"/>
    <w:rsid w:val="00BC4842"/>
    <w:rsid w:val="00BD2120"/>
    <w:rsid w:val="00BD214F"/>
    <w:rsid w:val="00BE046F"/>
    <w:rsid w:val="00BF73C1"/>
    <w:rsid w:val="00C236FB"/>
    <w:rsid w:val="00C338A5"/>
    <w:rsid w:val="00C434CF"/>
    <w:rsid w:val="00C571D9"/>
    <w:rsid w:val="00C97A7F"/>
    <w:rsid w:val="00CA4B47"/>
    <w:rsid w:val="00CA63F3"/>
    <w:rsid w:val="00CB70F0"/>
    <w:rsid w:val="00CC4658"/>
    <w:rsid w:val="00CF18CC"/>
    <w:rsid w:val="00D05418"/>
    <w:rsid w:val="00D106B1"/>
    <w:rsid w:val="00D1699D"/>
    <w:rsid w:val="00D20C0B"/>
    <w:rsid w:val="00D64DFA"/>
    <w:rsid w:val="00D9154F"/>
    <w:rsid w:val="00D92DF6"/>
    <w:rsid w:val="00DD157A"/>
    <w:rsid w:val="00DE6E2B"/>
    <w:rsid w:val="00E04D4D"/>
    <w:rsid w:val="00E07FF8"/>
    <w:rsid w:val="00E11F47"/>
    <w:rsid w:val="00E31E84"/>
    <w:rsid w:val="00E53C64"/>
    <w:rsid w:val="00E83A60"/>
    <w:rsid w:val="00E937D2"/>
    <w:rsid w:val="00EB0051"/>
    <w:rsid w:val="00EB0E6D"/>
    <w:rsid w:val="00EB44B0"/>
    <w:rsid w:val="00EC00E7"/>
    <w:rsid w:val="00ED16AD"/>
    <w:rsid w:val="00ED6440"/>
    <w:rsid w:val="00EF6D63"/>
    <w:rsid w:val="00F16910"/>
    <w:rsid w:val="00F321B8"/>
    <w:rsid w:val="00F46387"/>
    <w:rsid w:val="00F77D1F"/>
    <w:rsid w:val="00F85517"/>
    <w:rsid w:val="00F9254D"/>
    <w:rsid w:val="00FA31EB"/>
    <w:rsid w:val="00FC0896"/>
    <w:rsid w:val="00FC393E"/>
    <w:rsid w:val="00FF567C"/>
    <w:rsid w:val="1C447B83"/>
    <w:rsid w:val="1FF76995"/>
    <w:rsid w:val="32673600"/>
    <w:rsid w:val="683733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qFormat="1"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仿宋_GB2312" w:asciiTheme="minorHAnsi" w:hAnsiTheme="minorHAnsi" w:cstheme="minorBidi"/>
      <w:kern w:val="2"/>
      <w:sz w:val="28"/>
      <w:szCs w:val="22"/>
      <w:lang w:val="en-US" w:eastAsia="zh-CN" w:bidi="ar-SA"/>
    </w:rPr>
  </w:style>
  <w:style w:type="paragraph" w:styleId="2">
    <w:name w:val="heading 1"/>
    <w:basedOn w:val="1"/>
    <w:next w:val="1"/>
    <w:link w:val="16"/>
    <w:qFormat/>
    <w:uiPriority w:val="9"/>
    <w:pPr>
      <w:keepNext/>
      <w:keepLines/>
      <w:spacing w:before="120" w:after="120" w:line="480" w:lineRule="auto"/>
      <w:outlineLvl w:val="0"/>
    </w:pPr>
    <w:rPr>
      <w:rFonts w:ascii="Times New Roman" w:hAnsi="Times New Roman" w:cs="Times New Roman"/>
      <w:b/>
      <w:bCs/>
      <w:kern w:val="44"/>
      <w:sz w:val="32"/>
      <w:szCs w:val="44"/>
    </w:rPr>
  </w:style>
  <w:style w:type="paragraph" w:styleId="3">
    <w:name w:val="heading 2"/>
    <w:basedOn w:val="1"/>
    <w:next w:val="1"/>
    <w:link w:val="17"/>
    <w:unhideWhenUsed/>
    <w:qFormat/>
    <w:uiPriority w:val="9"/>
    <w:pPr>
      <w:keepNext/>
      <w:keepLines/>
      <w:spacing w:before="260" w:after="260" w:line="415" w:lineRule="auto"/>
      <w:outlineLvl w:val="1"/>
    </w:pPr>
    <w:rPr>
      <w:rFonts w:ascii="Times New Roman" w:hAnsi="Times New Roman" w:cstheme="majorBidi"/>
      <w:b/>
      <w:bCs/>
      <w:szCs w:val="32"/>
    </w:rPr>
  </w:style>
  <w:style w:type="character" w:default="1" w:styleId="14">
    <w:name w:val="Default Paragraph Font"/>
    <w:semiHidden/>
    <w:unhideWhenUsed/>
    <w:qFormat/>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styleId="4">
    <w:name w:val="caption"/>
    <w:basedOn w:val="1"/>
    <w:next w:val="1"/>
    <w:link w:val="18"/>
    <w:unhideWhenUsed/>
    <w:qFormat/>
    <w:uiPriority w:val="35"/>
    <w:rPr>
      <w:rFonts w:eastAsia="黑体" w:asciiTheme="majorHAnsi" w:hAnsiTheme="majorHAnsi" w:cstheme="majorBidi"/>
      <w:sz w:val="21"/>
    </w:rPr>
  </w:style>
  <w:style w:type="paragraph" w:styleId="5">
    <w:name w:val="Balloon Text"/>
    <w:basedOn w:val="1"/>
    <w:link w:val="24"/>
    <w:semiHidden/>
    <w:unhideWhenUsed/>
    <w:qFormat/>
    <w:uiPriority w:val="99"/>
    <w:rPr>
      <w:sz w:val="18"/>
      <w:szCs w:val="18"/>
    </w:rPr>
  </w:style>
  <w:style w:type="paragraph" w:styleId="6">
    <w:name w:val="footer"/>
    <w:basedOn w:val="1"/>
    <w:link w:val="22"/>
    <w:unhideWhenUsed/>
    <w:qFormat/>
    <w:uiPriority w:val="99"/>
    <w:pPr>
      <w:tabs>
        <w:tab w:val="center" w:pos="4153"/>
        <w:tab w:val="right" w:pos="8306"/>
      </w:tabs>
      <w:snapToGrid w:val="0"/>
      <w:jc w:val="left"/>
    </w:pPr>
    <w:rPr>
      <w:sz w:val="18"/>
      <w:szCs w:val="18"/>
    </w:rPr>
  </w:style>
  <w:style w:type="paragraph" w:styleId="7">
    <w:name w:val="header"/>
    <w:basedOn w:val="1"/>
    <w:link w:val="21"/>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pPr>
      <w:shd w:val="clear" w:color="auto" w:fill="FFFFFF"/>
      <w:tabs>
        <w:tab w:val="left" w:pos="355"/>
        <w:tab w:val="right" w:leader="dot" w:pos="8296"/>
      </w:tabs>
      <w:spacing w:line="440" w:lineRule="exact"/>
      <w:jc w:val="center"/>
    </w:pPr>
    <w:rPr>
      <w:rFonts w:ascii="Times New Roman" w:hAnsi="Times New Roman" w:cs="Helvetica"/>
      <w:b/>
      <w:bCs/>
      <w:kern w:val="44"/>
      <w:szCs w:val="28"/>
    </w:rPr>
  </w:style>
  <w:style w:type="paragraph" w:styleId="9">
    <w:name w:val="toc 2"/>
    <w:basedOn w:val="1"/>
    <w:next w:val="1"/>
    <w:unhideWhenUsed/>
    <w:qFormat/>
    <w:uiPriority w:val="39"/>
    <w:pPr>
      <w:tabs>
        <w:tab w:val="right" w:leader="dot" w:pos="8296"/>
      </w:tabs>
      <w:spacing w:line="480" w:lineRule="exact"/>
      <w:ind w:left="560" w:leftChars="200"/>
    </w:pPr>
    <w:rPr>
      <w:rFonts w:ascii="Times New Roman" w:hAnsi="Calibri" w:cs="Times New Roman"/>
      <w:bCs/>
      <w:kern w:val="44"/>
      <w:szCs w:val="28"/>
    </w:rPr>
  </w:style>
  <w:style w:type="paragraph" w:styleId="10">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12">
    <w:name w:val="Table Grid"/>
    <w:basedOn w:val="11"/>
    <w:qFormat/>
    <w:uiPriority w:val="5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3">
    <w:name w:val="Light List Accent 1"/>
    <w:basedOn w:val="11"/>
    <w:qFormat/>
    <w:uiPriority w:val="61"/>
    <w:tblPr>
      <w:tblBorders>
        <w:top w:val="single" w:color="5B9BD5" w:themeColor="accent1" w:sz="8" w:space="0"/>
        <w:left w:val="single" w:color="5B9BD5" w:themeColor="accent1" w:sz="8" w:space="0"/>
        <w:bottom w:val="single" w:color="5B9BD5" w:themeColor="accent1" w:sz="8" w:space="0"/>
        <w:right w:val="single" w:color="5B9BD5" w:themeColor="accent1"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5B9BD5" w:themeFill="accent1"/>
      </w:tcPr>
    </w:tblStylePr>
    <w:tblStylePr w:type="lastRow">
      <w:pPr>
        <w:spacing w:before="0" w:after="0" w:line="240" w:lineRule="auto"/>
      </w:pPr>
      <w:rPr>
        <w:b/>
        <w:bCs/>
      </w:rPr>
      <w:tblPr/>
      <w:tcPr>
        <w:tcBorders>
          <w:top w:val="double" w:color="5B9BD5" w:themeColor="accent1" w:sz="6" w:space="0"/>
          <w:left w:val="single" w:color="5B9BD5" w:themeColor="accent1" w:sz="8" w:space="0"/>
          <w:bottom w:val="single" w:color="5B9BD5" w:themeColor="accent1" w:sz="8" w:space="0"/>
          <w:right w:val="single" w:color="5B9BD5" w:themeColor="accent1" w:sz="8" w:space="0"/>
        </w:tcBorders>
      </w:tcPr>
    </w:tblStylePr>
    <w:tblStylePr w:type="firstCol">
      <w:rPr>
        <w:b/>
        <w:bCs/>
      </w:rPr>
    </w:tblStylePr>
    <w:tblStylePr w:type="lastCol">
      <w:rPr>
        <w:b/>
        <w:bCs/>
      </w:rPr>
    </w:tblStylePr>
    <w:tblStylePr w:type="band1Vert">
      <w:tblPr/>
      <w:tcPr>
        <w:tcBorders>
          <w:top w:val="single" w:color="5B9BD5" w:themeColor="accent1" w:sz="8" w:space="0"/>
          <w:left w:val="single" w:color="5B9BD5" w:themeColor="accent1" w:sz="8" w:space="0"/>
          <w:bottom w:val="single" w:color="5B9BD5" w:themeColor="accent1" w:sz="8" w:space="0"/>
          <w:right w:val="single" w:color="5B9BD5" w:themeColor="accent1" w:sz="8" w:space="0"/>
        </w:tcBorders>
      </w:tcPr>
    </w:tblStylePr>
    <w:tblStylePr w:type="band1Horz">
      <w:tblPr/>
      <w:tcPr>
        <w:tcBorders>
          <w:top w:val="single" w:color="5B9BD5" w:themeColor="accent1" w:sz="8" w:space="0"/>
          <w:left w:val="single" w:color="5B9BD5" w:themeColor="accent1" w:sz="8" w:space="0"/>
          <w:bottom w:val="single" w:color="5B9BD5" w:themeColor="accent1" w:sz="8" w:space="0"/>
          <w:right w:val="single" w:color="5B9BD5" w:themeColor="accent1" w:sz="8" w:space="0"/>
        </w:tcBorders>
      </w:tcPr>
    </w:tblStylePr>
  </w:style>
  <w:style w:type="character" w:styleId="15">
    <w:name w:val="Hyperlink"/>
    <w:unhideWhenUsed/>
    <w:qFormat/>
    <w:uiPriority w:val="99"/>
    <w:rPr>
      <w:color w:val="0000FF"/>
      <w:u w:val="single"/>
    </w:rPr>
  </w:style>
  <w:style w:type="character" w:customStyle="1" w:styleId="16">
    <w:name w:val="标题 1 字符"/>
    <w:basedOn w:val="14"/>
    <w:link w:val="2"/>
    <w:qFormat/>
    <w:uiPriority w:val="9"/>
    <w:rPr>
      <w:rFonts w:ascii="Times New Roman" w:hAnsi="Times New Roman" w:eastAsia="仿宋_GB2312" w:cs="Times New Roman"/>
      <w:b/>
      <w:bCs/>
      <w:kern w:val="44"/>
      <w:sz w:val="32"/>
      <w:szCs w:val="44"/>
    </w:rPr>
  </w:style>
  <w:style w:type="character" w:customStyle="1" w:styleId="17">
    <w:name w:val="标题 2 字符"/>
    <w:basedOn w:val="14"/>
    <w:link w:val="3"/>
    <w:qFormat/>
    <w:uiPriority w:val="9"/>
    <w:rPr>
      <w:rFonts w:ascii="Times New Roman" w:hAnsi="Times New Roman" w:eastAsia="仿宋_GB2312" w:cstheme="majorBidi"/>
      <w:b/>
      <w:bCs/>
      <w:sz w:val="28"/>
      <w:szCs w:val="32"/>
    </w:rPr>
  </w:style>
  <w:style w:type="character" w:customStyle="1" w:styleId="18">
    <w:name w:val="题注 字符"/>
    <w:basedOn w:val="14"/>
    <w:link w:val="4"/>
    <w:qFormat/>
    <w:locked/>
    <w:uiPriority w:val="35"/>
    <w:rPr>
      <w:rFonts w:eastAsia="黑体" w:asciiTheme="majorHAnsi" w:hAnsiTheme="majorHAnsi" w:cstheme="majorBidi"/>
    </w:rPr>
  </w:style>
  <w:style w:type="table" w:customStyle="1" w:styleId="19">
    <w:name w:val="清单表 3 - 着色 111"/>
    <w:basedOn w:val="11"/>
    <w:qFormat/>
    <w:uiPriority w:val="48"/>
    <w:tblPr>
      <w:tblBorders>
        <w:top w:val="single" w:color="5B9BD5" w:themeColor="accent1" w:sz="4" w:space="0"/>
        <w:left w:val="single" w:color="5B9BD5" w:themeColor="accent1" w:sz="4" w:space="0"/>
        <w:bottom w:val="single" w:color="5B9BD5" w:themeColor="accent1" w:sz="4" w:space="0"/>
        <w:right w:val="single" w:color="5B9BD5" w:themeColor="accent1" w:sz="4" w:space="0"/>
      </w:tblBorders>
    </w:tblPr>
    <w:tblStylePr w:type="firstRow">
      <w:rPr>
        <w:b/>
        <w:bCs/>
        <w:color w:val="FFFFFF" w:themeColor="background1"/>
        <w14:textFill>
          <w14:solidFill>
            <w14:schemeClr w14:val="bg1"/>
          </w14:solidFill>
        </w14:textFill>
      </w:rPr>
      <w:tcPr>
        <w:shd w:val="clear" w:color="auto" w:fill="5B9BD5" w:themeFill="accent1"/>
      </w:tcPr>
    </w:tblStylePr>
    <w:tblStylePr w:type="lastRow">
      <w:rPr>
        <w:b/>
        <w:bCs/>
      </w:rPr>
      <w:tcPr>
        <w:tcBorders>
          <w:top w:val="double" w:color="5B9BD5" w:themeColor="accent1"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5B9BD5" w:themeColor="accent1" w:sz="4" w:space="0"/>
          <w:right w:val="single" w:color="5B9BD5" w:themeColor="accent1" w:sz="4" w:space="0"/>
        </w:tcBorders>
      </w:tcPr>
    </w:tblStylePr>
    <w:tblStylePr w:type="band1Horz">
      <w:tcPr>
        <w:tcBorders>
          <w:top w:val="single" w:color="5B9BD5" w:themeColor="accent1" w:sz="4" w:space="0"/>
          <w:bottom w:val="single" w:color="5B9BD5" w:themeColor="accent1"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5B9BD5" w:themeColor="accent1" w:sz="4" w:space="0"/>
          <w:left w:val="nil"/>
        </w:tcBorders>
      </w:tcPr>
    </w:tblStylePr>
    <w:tblStylePr w:type="swCell">
      <w:tcPr>
        <w:tcBorders>
          <w:top w:val="double" w:color="5B9BD5" w:themeColor="accent1" w:sz="4" w:space="0"/>
          <w:right w:val="nil"/>
        </w:tcBorders>
      </w:tcPr>
    </w:tblStylePr>
  </w:style>
  <w:style w:type="table" w:customStyle="1" w:styleId="20">
    <w:name w:val="清单表 3 - 着色 11"/>
    <w:basedOn w:val="11"/>
    <w:qFormat/>
    <w:uiPriority w:val="48"/>
    <w:tblPr>
      <w:tblBorders>
        <w:top w:val="single" w:color="5B9BD5" w:themeColor="accent1" w:sz="4" w:space="0"/>
        <w:left w:val="single" w:color="5B9BD5" w:themeColor="accent1" w:sz="4" w:space="0"/>
        <w:bottom w:val="single" w:color="5B9BD5" w:themeColor="accent1" w:sz="4" w:space="0"/>
        <w:right w:val="single" w:color="5B9BD5" w:themeColor="accent1" w:sz="4" w:space="0"/>
      </w:tblBorders>
    </w:tblPr>
    <w:tblStylePr w:type="firstRow">
      <w:rPr>
        <w:b/>
        <w:bCs/>
        <w:color w:val="FFFFFF" w:themeColor="background1"/>
        <w14:textFill>
          <w14:solidFill>
            <w14:schemeClr w14:val="bg1"/>
          </w14:solidFill>
        </w14:textFill>
      </w:rPr>
      <w:tcPr>
        <w:shd w:val="clear" w:color="auto" w:fill="5B9BD5" w:themeFill="accent1"/>
      </w:tcPr>
    </w:tblStylePr>
    <w:tblStylePr w:type="lastRow">
      <w:rPr>
        <w:b/>
        <w:bCs/>
      </w:rPr>
      <w:tcPr>
        <w:tcBorders>
          <w:top w:val="double" w:color="5B9BD5" w:themeColor="accent1"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5B9BD5" w:themeColor="accent1" w:sz="4" w:space="0"/>
          <w:right w:val="single" w:color="5B9BD5" w:themeColor="accent1" w:sz="4" w:space="0"/>
        </w:tcBorders>
      </w:tcPr>
    </w:tblStylePr>
    <w:tblStylePr w:type="band1Horz">
      <w:tcPr>
        <w:tcBorders>
          <w:top w:val="single" w:color="5B9BD5" w:themeColor="accent1" w:sz="4" w:space="0"/>
          <w:bottom w:val="single" w:color="5B9BD5" w:themeColor="accent1"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5B9BD5" w:themeColor="accent1" w:sz="4" w:space="0"/>
          <w:left w:val="nil"/>
        </w:tcBorders>
      </w:tcPr>
    </w:tblStylePr>
    <w:tblStylePr w:type="swCell">
      <w:tcPr>
        <w:tcBorders>
          <w:top w:val="double" w:color="5B9BD5" w:themeColor="accent1" w:sz="4" w:space="0"/>
          <w:right w:val="nil"/>
        </w:tcBorders>
      </w:tcPr>
    </w:tblStylePr>
  </w:style>
  <w:style w:type="character" w:customStyle="1" w:styleId="21">
    <w:name w:val="页眉 字符"/>
    <w:basedOn w:val="14"/>
    <w:link w:val="7"/>
    <w:qFormat/>
    <w:uiPriority w:val="99"/>
    <w:rPr>
      <w:rFonts w:eastAsia="仿宋_GB2312"/>
      <w:sz w:val="18"/>
      <w:szCs w:val="18"/>
    </w:rPr>
  </w:style>
  <w:style w:type="character" w:customStyle="1" w:styleId="22">
    <w:name w:val="页脚 字符"/>
    <w:basedOn w:val="14"/>
    <w:link w:val="6"/>
    <w:qFormat/>
    <w:uiPriority w:val="99"/>
    <w:rPr>
      <w:rFonts w:eastAsia="仿宋_GB2312"/>
      <w:sz w:val="18"/>
      <w:szCs w:val="18"/>
    </w:rPr>
  </w:style>
  <w:style w:type="table" w:customStyle="1" w:styleId="23">
    <w:name w:val="浅色列表 - 强调文字颜色 11"/>
    <w:basedOn w:val="11"/>
    <w:qFormat/>
    <w:uiPriority w:val="61"/>
    <w:rPr>
      <w:rFonts w:ascii="Times New Roman" w:hAnsi="Times New Roman" w:eastAsia="宋体" w:cs="Times New Roman"/>
    </w:rPr>
    <w:tblPr>
      <w:tblBorders>
        <w:top w:val="single" w:color="5B9BD5" w:themeColor="accent1" w:sz="8" w:space="0"/>
        <w:left w:val="single" w:color="5B9BD5" w:themeColor="accent1" w:sz="8" w:space="0"/>
        <w:bottom w:val="single" w:color="5B9BD5" w:themeColor="accent1" w:sz="8" w:space="0"/>
        <w:right w:val="single" w:color="5B9BD5" w:themeColor="accent1" w:sz="8" w:space="0"/>
      </w:tblBorders>
    </w:tblPr>
    <w:tblStylePr w:type="firstRow">
      <w:pPr>
        <w:spacing w:before="0" w:beforeLines="0" w:beforeAutospacing="0" w:after="0" w:afterLines="0" w:afterAutospacing="0" w:line="240" w:lineRule="auto"/>
      </w:pPr>
      <w:rPr>
        <w:b/>
        <w:bCs/>
        <w:color w:val="FFFFFF" w:themeColor="background1"/>
        <w14:textFill>
          <w14:solidFill>
            <w14:schemeClr w14:val="bg1"/>
          </w14:solidFill>
        </w14:textFill>
      </w:rPr>
      <w:tcPr>
        <w:shd w:val="clear" w:color="auto" w:fill="5B9BD5" w:themeFill="accent1"/>
      </w:tcPr>
    </w:tblStylePr>
    <w:tblStylePr w:type="lastRow">
      <w:pPr>
        <w:spacing w:before="0" w:beforeLines="0" w:beforeAutospacing="0" w:after="0" w:afterLines="0" w:afterAutospacing="0" w:line="240" w:lineRule="auto"/>
      </w:pPr>
      <w:rPr>
        <w:b/>
        <w:bCs/>
      </w:rPr>
      <w:tcPr>
        <w:tcBorders>
          <w:top w:val="double" w:color="5B9BD5" w:themeColor="accent1" w:sz="6" w:space="0"/>
          <w:left w:val="single" w:color="5B9BD5" w:themeColor="accent1" w:sz="8" w:space="0"/>
          <w:bottom w:val="single" w:color="5B9BD5" w:themeColor="accent1" w:sz="8" w:space="0"/>
          <w:right w:val="single" w:color="5B9BD5" w:themeColor="accent1" w:sz="8" w:space="0"/>
        </w:tcBorders>
      </w:tcPr>
    </w:tblStylePr>
    <w:tblStylePr w:type="firstCol">
      <w:rPr>
        <w:b/>
        <w:bCs/>
      </w:rPr>
    </w:tblStylePr>
    <w:tblStylePr w:type="lastCol">
      <w:rPr>
        <w:b/>
        <w:bCs/>
      </w:rPr>
    </w:tblStylePr>
    <w:tblStylePr w:type="band1Vert">
      <w:tcPr>
        <w:tcBorders>
          <w:top w:val="single" w:color="5B9BD5" w:themeColor="accent1" w:sz="8" w:space="0"/>
          <w:left w:val="single" w:color="5B9BD5" w:themeColor="accent1" w:sz="8" w:space="0"/>
          <w:bottom w:val="single" w:color="5B9BD5" w:themeColor="accent1" w:sz="8" w:space="0"/>
          <w:right w:val="single" w:color="5B9BD5" w:themeColor="accent1" w:sz="8" w:space="0"/>
        </w:tcBorders>
      </w:tcPr>
    </w:tblStylePr>
    <w:tblStylePr w:type="band1Horz">
      <w:tcPr>
        <w:tcBorders>
          <w:top w:val="single" w:color="5B9BD5" w:themeColor="accent1" w:sz="8" w:space="0"/>
          <w:left w:val="single" w:color="5B9BD5" w:themeColor="accent1" w:sz="8" w:space="0"/>
          <w:bottom w:val="single" w:color="5B9BD5" w:themeColor="accent1" w:sz="8" w:space="0"/>
          <w:right w:val="single" w:color="5B9BD5" w:themeColor="accent1" w:sz="8" w:space="0"/>
        </w:tcBorders>
      </w:tcPr>
    </w:tblStylePr>
  </w:style>
  <w:style w:type="character" w:customStyle="1" w:styleId="24">
    <w:name w:val="批注框文本 字符"/>
    <w:basedOn w:val="14"/>
    <w:link w:val="5"/>
    <w:semiHidden/>
    <w:qFormat/>
    <w:uiPriority w:val="99"/>
    <w:rPr>
      <w:rFonts w:eastAsia="仿宋_GB2312"/>
      <w:sz w:val="18"/>
      <w:szCs w:val="18"/>
    </w:rPr>
  </w:style>
  <w:style w:type="table" w:customStyle="1" w:styleId="25">
    <w:name w:val="浅色列表 - 强调文字颜色 1111"/>
    <w:qFormat/>
    <w:uiPriority w:val="61"/>
    <w:rPr>
      <w:rFonts w:ascii="Times New Roman" w:hAnsi="Times New Roman" w:eastAsia="宋体" w:cs="Times New Roman"/>
    </w:rPr>
    <w:tblPr>
      <w:tblBorders>
        <w:top w:val="single" w:color="5B9BD5" w:sz="8" w:space="0"/>
        <w:left w:val="single" w:color="5B9BD5" w:sz="8" w:space="0"/>
        <w:bottom w:val="single" w:color="5B9BD5" w:sz="8" w:space="0"/>
        <w:right w:val="single" w:color="5B9BD5"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5B9BD5"/>
      </w:tcPr>
    </w:tblStylePr>
    <w:tblStylePr w:type="lastRow">
      <w:pPr>
        <w:spacing w:before="0" w:beforeLines="0" w:beforeAutospacing="0" w:after="0" w:afterLines="0" w:afterAutospacing="0" w:line="240" w:lineRule="auto"/>
      </w:pPr>
      <w:rPr>
        <w:b/>
        <w:bCs/>
      </w:rPr>
      <w:tcPr>
        <w:tcBorders>
          <w:top w:val="double" w:color="5B9BD5" w:sz="6" w:space="0"/>
          <w:left w:val="single" w:color="5B9BD5" w:sz="8" w:space="0"/>
          <w:bottom w:val="single" w:color="5B9BD5" w:sz="8" w:space="0"/>
          <w:right w:val="single" w:color="5B9BD5" w:sz="8" w:space="0"/>
        </w:tcBorders>
      </w:tcPr>
    </w:tblStylePr>
    <w:tblStylePr w:type="firstCol">
      <w:rPr>
        <w:b/>
        <w:bCs/>
      </w:rPr>
    </w:tblStylePr>
    <w:tblStylePr w:type="lastCol">
      <w:rPr>
        <w:b/>
        <w:bCs/>
      </w:rPr>
    </w:tblStylePr>
    <w:tblStylePr w:type="band1Vert">
      <w:tcPr>
        <w:tcBorders>
          <w:top w:val="single" w:color="5B9BD5" w:sz="8" w:space="0"/>
          <w:left w:val="single" w:color="5B9BD5" w:sz="8" w:space="0"/>
          <w:bottom w:val="single" w:color="5B9BD5" w:sz="8" w:space="0"/>
          <w:right w:val="single" w:color="5B9BD5" w:sz="8" w:space="0"/>
        </w:tcBorders>
      </w:tcPr>
    </w:tblStylePr>
    <w:tblStylePr w:type="band1Horz">
      <w:tcPr>
        <w:tcBorders>
          <w:top w:val="single" w:color="5B9BD5" w:sz="8" w:space="0"/>
          <w:left w:val="single" w:color="5B9BD5" w:sz="8" w:space="0"/>
          <w:bottom w:val="single" w:color="5B9BD5" w:sz="8" w:space="0"/>
          <w:right w:val="single" w:color="5B9BD5" w:sz="8" w:space="0"/>
        </w:tcBorders>
      </w:tcPr>
    </w:tblStylePr>
  </w:style>
  <w:style w:type="paragraph" w:styleId="26">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4.png"/><Relationship Id="rId16" Type="http://schemas.openxmlformats.org/officeDocument/2006/relationships/chart" Target="charts/chart5.xml"/><Relationship Id="rId15" Type="http://schemas.openxmlformats.org/officeDocument/2006/relationships/chart" Target="charts/chart4.xml"/><Relationship Id="rId14" Type="http://schemas.openxmlformats.org/officeDocument/2006/relationships/chart" Target="charts/chart3.xml"/><Relationship Id="rId13" Type="http://schemas.openxmlformats.org/officeDocument/2006/relationships/chart" Target="charts/chart2.xml"/><Relationship Id="rId12" Type="http://schemas.openxmlformats.org/officeDocument/2006/relationships/image" Target="media/image3.png"/><Relationship Id="rId11" Type="http://schemas.openxmlformats.org/officeDocument/2006/relationships/image" Target="media/image2.jpeg"/><Relationship Id="rId10" Type="http://schemas.openxmlformats.org/officeDocument/2006/relationships/chart" Target="charts/chart1.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4" Type="http://schemas.microsoft.com/office/2011/relationships/chartColorStyle" Target="colors1.xml"/><Relationship Id="rId3" Type="http://schemas.microsoft.com/office/2011/relationships/chartStyle" Target="style1.xml"/><Relationship Id="rId2" Type="http://schemas.openxmlformats.org/officeDocument/2006/relationships/themeOverride" Target="../theme/themeOverride1.xml"/><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20013;&#21830;\Desktop\&#36149;&#24030;&#24066;&#22330;&#20998;&#26512;.xlsx"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C:\Users\&#20013;&#21830;\Desktop\&#36149;&#24030;&#24066;&#22330;&#20998;&#26512;.xlsx"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C:\Users\&#20013;&#21830;\Desktop\&#36149;&#24030;&#24066;&#22330;&#20998;&#26512;.xlsx"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C:\Users\&#20013;&#21830;\Desktop\&#36149;&#24030;&#24066;&#22330;&#20998;&#2651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息烽县!$B$1</c:f>
              <c:strCache>
                <c:ptCount val="1"/>
                <c:pt idx="0">
                  <c:v>地区生产总值（亿元）</c:v>
                </c:pt>
              </c:strCache>
            </c:strRef>
          </c:tx>
          <c:spPr>
            <a:solidFill>
              <a:schemeClr val="accent1"/>
            </a:solidFill>
            <a:ln>
              <a:solidFill>
                <a:schemeClr val="bg1">
                  <a:lumMod val="7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息烽县!$A$2:$A$4</c:f>
              <c:strCache>
                <c:ptCount val="3"/>
                <c:pt idx="0">
                  <c:v>2018年</c:v>
                </c:pt>
                <c:pt idx="1">
                  <c:v>2019年</c:v>
                </c:pt>
                <c:pt idx="2">
                  <c:v>2020年</c:v>
                </c:pt>
              </c:strCache>
            </c:strRef>
          </c:cat>
          <c:val>
            <c:numRef>
              <c:f>息烽县!$B$2:$B$4</c:f>
              <c:numCache>
                <c:formatCode>General</c:formatCode>
                <c:ptCount val="3"/>
                <c:pt idx="0">
                  <c:v>131.69</c:v>
                </c:pt>
                <c:pt idx="1">
                  <c:v>138.05</c:v>
                </c:pt>
                <c:pt idx="2">
                  <c:v>152.8</c:v>
                </c:pt>
              </c:numCache>
            </c:numRef>
          </c:val>
        </c:ser>
        <c:dLbls>
          <c:showLegendKey val="0"/>
          <c:showVal val="1"/>
          <c:showCatName val="0"/>
          <c:showSerName val="0"/>
          <c:showPercent val="0"/>
          <c:showBubbleSize val="0"/>
        </c:dLbls>
        <c:gapWidth val="219"/>
        <c:overlap val="-27"/>
        <c:axId val="1006570703"/>
        <c:axId val="1006571951"/>
      </c:barChart>
      <c:lineChart>
        <c:grouping val="standard"/>
        <c:varyColors val="0"/>
        <c:ser>
          <c:idx val="1"/>
          <c:order val="1"/>
          <c:tx>
            <c:strRef>
              <c:f>息烽县!$C$1</c:f>
              <c:strCache>
                <c:ptCount val="1"/>
                <c:pt idx="0">
                  <c:v>增速（%）</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息烽县!$A$2:$A$4</c:f>
              <c:strCache>
                <c:ptCount val="3"/>
                <c:pt idx="0">
                  <c:v>2018年</c:v>
                </c:pt>
                <c:pt idx="1">
                  <c:v>2019年</c:v>
                </c:pt>
                <c:pt idx="2">
                  <c:v>2020年</c:v>
                </c:pt>
              </c:strCache>
            </c:strRef>
          </c:cat>
          <c:val>
            <c:numRef>
              <c:f>息烽县!$C$2:$C$4</c:f>
              <c:numCache>
                <c:formatCode>0%</c:formatCode>
                <c:ptCount val="3"/>
                <c:pt idx="0">
                  <c:v>0.04</c:v>
                </c:pt>
                <c:pt idx="1" c:formatCode="0.00%">
                  <c:v>0.028</c:v>
                </c:pt>
                <c:pt idx="2" c:formatCode="0.00%">
                  <c:v>0.098</c:v>
                </c:pt>
              </c:numCache>
            </c:numRef>
          </c:val>
          <c:smooth val="0"/>
        </c:ser>
        <c:dLbls>
          <c:showLegendKey val="0"/>
          <c:showVal val="1"/>
          <c:showCatName val="0"/>
          <c:showSerName val="0"/>
          <c:showPercent val="0"/>
          <c:showBubbleSize val="0"/>
        </c:dLbls>
        <c:marker val="0"/>
        <c:smooth val="0"/>
        <c:axId val="1076013775"/>
        <c:axId val="1078915695"/>
      </c:lineChart>
      <c:catAx>
        <c:axId val="10065707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006571951"/>
        <c:crosses val="autoZero"/>
        <c:auto val="1"/>
        <c:lblAlgn val="ctr"/>
        <c:lblOffset val="100"/>
        <c:noMultiLvlLbl val="0"/>
      </c:catAx>
      <c:valAx>
        <c:axId val="1006571951"/>
        <c:scaling>
          <c:orientation val="minMax"/>
        </c:scaling>
        <c:delete val="0"/>
        <c:axPos val="l"/>
        <c:numFmt formatCode="General"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006570703"/>
        <c:crosses val="autoZero"/>
        <c:crossBetween val="between"/>
      </c:valAx>
      <c:catAx>
        <c:axId val="1076013775"/>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078915695"/>
        <c:crosses val="autoZero"/>
        <c:auto val="1"/>
        <c:lblAlgn val="ctr"/>
        <c:lblOffset val="100"/>
        <c:noMultiLvlLbl val="0"/>
      </c:catAx>
      <c:valAx>
        <c:axId val="1078915695"/>
        <c:scaling>
          <c:orientation val="minMax"/>
        </c:scaling>
        <c:delete val="0"/>
        <c:axPos val="r"/>
        <c:numFmt formatCode="0%"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076013775"/>
        <c:crosses val="max"/>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5c8f570f-0df8-4ba6-8cc7-95285df88493}"/>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[贵州市场分析.xlsx]息烽县!$D$84</c:f>
              <c:strCache>
                <c:ptCount val="1"/>
                <c:pt idx="0">
                  <c:v>泵产量（亿台）</c:v>
                </c:pt>
              </c:strCache>
            </c:strRef>
          </c:tx>
          <c:spPr>
            <a:solidFill>
              <a:schemeClr val="accent5"/>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[贵州市场分析.xlsx]息烽县!$C$85:$C$90</c:f>
              <c:strCache>
                <c:ptCount val="6"/>
                <c:pt idx="0">
                  <c:v>2015年</c:v>
                </c:pt>
                <c:pt idx="1">
                  <c:v>2016年</c:v>
                </c:pt>
                <c:pt idx="2">
                  <c:v>2017年</c:v>
                </c:pt>
                <c:pt idx="3">
                  <c:v>2018年</c:v>
                </c:pt>
                <c:pt idx="4">
                  <c:v>2019年</c:v>
                </c:pt>
                <c:pt idx="5">
                  <c:v>2020年</c:v>
                </c:pt>
              </c:strCache>
            </c:strRef>
          </c:cat>
          <c:val>
            <c:numRef>
              <c:f>[贵州市场分析.xlsx]息烽县!$D$85:$D$90</c:f>
              <c:numCache>
                <c:formatCode>General</c:formatCode>
                <c:ptCount val="6"/>
                <c:pt idx="0">
                  <c:v>1.17</c:v>
                </c:pt>
                <c:pt idx="1">
                  <c:v>1.21</c:v>
                </c:pt>
                <c:pt idx="2">
                  <c:v>1.22</c:v>
                </c:pt>
                <c:pt idx="3">
                  <c:v>1.15</c:v>
                </c:pt>
                <c:pt idx="4">
                  <c:v>1.78</c:v>
                </c:pt>
                <c:pt idx="5">
                  <c:v>1.83</c:v>
                </c:pt>
              </c:numCache>
            </c:numRef>
          </c:val>
        </c:ser>
        <c:dLbls>
          <c:showLegendKey val="0"/>
          <c:showVal val="1"/>
          <c:showCatName val="0"/>
          <c:showSerName val="0"/>
          <c:showPercent val="0"/>
          <c:showBubbleSize val="0"/>
        </c:dLbls>
        <c:gapWidth val="219"/>
        <c:overlap val="-27"/>
        <c:axId val="343522819"/>
        <c:axId val="855186540"/>
      </c:barChart>
      <c:catAx>
        <c:axId val="343522819"/>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55186540"/>
        <c:crosses val="autoZero"/>
        <c:auto val="1"/>
        <c:lblAlgn val="ctr"/>
        <c:lblOffset val="100"/>
        <c:noMultiLvlLbl val="0"/>
      </c:catAx>
      <c:valAx>
        <c:axId val="855186540"/>
        <c:scaling>
          <c:orientation val="minMax"/>
        </c:scaling>
        <c:delete val="0"/>
        <c:axPos val="l"/>
        <c:numFmt formatCode="General" sourceLinked="1"/>
        <c:majorTickMark val="in"/>
        <c:minorTickMark val="none"/>
        <c:tickLblPos val="nextTo"/>
        <c:spPr>
          <a:noFill/>
          <a:ln>
            <a:solidFill>
              <a:schemeClr val="bg1">
                <a:lumMod val="75000"/>
              </a:schemeClr>
            </a:solid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43522819"/>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ce537c06-a009-4cd5-907c-cf67e704b4b4}"/>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[贵州市场分析.xlsx]息烽县!$E$84</c:f>
              <c:strCache>
                <c:ptCount val="1"/>
                <c:pt idx="0">
                  <c:v>液体变容机械、泵专利申请受理量（万项）</c:v>
                </c:pt>
              </c:strCache>
            </c:strRef>
          </c:tx>
          <c:spPr>
            <a:solidFill>
              <a:schemeClr val="accent5"/>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[贵州市场分析.xlsx]息烽县!$C$85:$C$89</c:f>
              <c:strCache>
                <c:ptCount val="5"/>
                <c:pt idx="0">
                  <c:v>2015年</c:v>
                </c:pt>
                <c:pt idx="1">
                  <c:v>2016年</c:v>
                </c:pt>
                <c:pt idx="2">
                  <c:v>2017年</c:v>
                </c:pt>
                <c:pt idx="3">
                  <c:v>2018年</c:v>
                </c:pt>
                <c:pt idx="4">
                  <c:v>2019年</c:v>
                </c:pt>
              </c:strCache>
            </c:strRef>
          </c:cat>
          <c:val>
            <c:numRef>
              <c:f>[贵州市场分析.xlsx]息烽县!$E$85:$E$89</c:f>
              <c:numCache>
                <c:formatCode>General</c:formatCode>
                <c:ptCount val="5"/>
                <c:pt idx="0">
                  <c:v>2.02</c:v>
                </c:pt>
                <c:pt idx="1">
                  <c:v>2.29</c:v>
                </c:pt>
                <c:pt idx="2">
                  <c:v>2.12</c:v>
                </c:pt>
                <c:pt idx="3">
                  <c:v>3.26</c:v>
                </c:pt>
                <c:pt idx="4">
                  <c:v>3.19</c:v>
                </c:pt>
              </c:numCache>
            </c:numRef>
          </c:val>
        </c:ser>
        <c:dLbls>
          <c:showLegendKey val="0"/>
          <c:showVal val="1"/>
          <c:showCatName val="0"/>
          <c:showSerName val="0"/>
          <c:showPercent val="0"/>
          <c:showBubbleSize val="0"/>
        </c:dLbls>
        <c:gapWidth val="219"/>
        <c:overlap val="-27"/>
        <c:axId val="352841934"/>
        <c:axId val="659023085"/>
      </c:barChart>
      <c:catAx>
        <c:axId val="35284193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59023085"/>
        <c:crosses val="autoZero"/>
        <c:auto val="1"/>
        <c:lblAlgn val="ctr"/>
        <c:lblOffset val="100"/>
        <c:noMultiLvlLbl val="0"/>
      </c:catAx>
      <c:valAx>
        <c:axId val="659023085"/>
        <c:scaling>
          <c:orientation val="minMax"/>
        </c:scaling>
        <c:delete val="0"/>
        <c:axPos val="l"/>
        <c:numFmt formatCode="General" sourceLinked="1"/>
        <c:majorTickMark val="in"/>
        <c:minorTickMark val="none"/>
        <c:tickLblPos val="nextTo"/>
        <c:spPr>
          <a:noFill/>
          <a:ln>
            <a:solidFill>
              <a:schemeClr val="bg1">
                <a:lumMod val="75000"/>
              </a:schemeClr>
            </a:solid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5284193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ea8a21af-1cf7-4d47-b16f-7a3a9b6e4d86}"/>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[贵州市场分析.xlsx]息烽县!$D$45</c:f>
              <c:strCache>
                <c:ptCount val="1"/>
                <c:pt idx="0">
                  <c:v>占比（%）</c:v>
                </c:pt>
              </c:strCache>
            </c:strRef>
          </c:tx>
          <c:spPr/>
          <c:explosion val="0"/>
          <c:dPt>
            <c:idx val="0"/>
            <c:bubble3D val="0"/>
            <c:spPr>
              <a:solidFill>
                <a:schemeClr val="accent5"/>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4">
                  <a:lumMod val="75000"/>
                </a:schemeClr>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1">
                  <a:lumMod val="60000"/>
                  <a:lumOff val="40000"/>
                </a:schemeClr>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bg1">
                  <a:lumMod val="85000"/>
                </a:schemeClr>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[贵州市场分析.xlsx]息烽县!$C$46:$C$54</c:f>
              <c:strCache>
                <c:ptCount val="9"/>
                <c:pt idx="0">
                  <c:v>炼油</c:v>
                </c:pt>
                <c:pt idx="1">
                  <c:v>电力</c:v>
                </c:pt>
                <c:pt idx="2">
                  <c:v>化工</c:v>
                </c:pt>
                <c:pt idx="3">
                  <c:v>废水</c:v>
                </c:pt>
                <c:pt idx="4">
                  <c:v>钢铁</c:v>
                </c:pt>
                <c:pt idx="5">
                  <c:v>食品</c:v>
                </c:pt>
                <c:pt idx="6">
                  <c:v>医药</c:v>
                </c:pt>
                <c:pt idx="7">
                  <c:v>金属</c:v>
                </c:pt>
                <c:pt idx="8">
                  <c:v>其他</c:v>
                </c:pt>
              </c:strCache>
            </c:strRef>
          </c:cat>
          <c:val>
            <c:numRef>
              <c:f>[贵州市场分析.xlsx]息烽县!$D$46:$D$54</c:f>
              <c:numCache>
                <c:formatCode>0.00%</c:formatCode>
                <c:ptCount val="9"/>
                <c:pt idx="0">
                  <c:v>0.161</c:v>
                </c:pt>
                <c:pt idx="1">
                  <c:v>0.159</c:v>
                </c:pt>
                <c:pt idx="2">
                  <c:v>0.139</c:v>
                </c:pt>
                <c:pt idx="3">
                  <c:v>0.086</c:v>
                </c:pt>
                <c:pt idx="4">
                  <c:v>0.043</c:v>
                </c:pt>
                <c:pt idx="5">
                  <c:v>0.031</c:v>
                </c:pt>
                <c:pt idx="6">
                  <c:v>0.031</c:v>
                </c:pt>
                <c:pt idx="7">
                  <c:v>0.019</c:v>
                </c:pt>
                <c:pt idx="8">
                  <c:v>0.331</c:v>
                </c:pt>
              </c:numCache>
            </c:numRef>
          </c:val>
        </c:ser>
        <c:dLbls>
          <c:showLegendKey val="0"/>
          <c:showVal val="1"/>
          <c:showCatName val="1"/>
          <c:showSerName val="0"/>
          <c:showPercent val="0"/>
          <c:showBubbleSize val="0"/>
          <c:showLeaderLines val="1"/>
        </c:dLbls>
        <c:firstSliceAng val="0"/>
      </c:pieChart>
      <c:spPr>
        <a:noFill/>
        <a:ln>
          <a:noFill/>
        </a:ln>
        <a:effectLst/>
      </c:spPr>
    </c:plotArea>
    <c:plotVisOnly val="1"/>
    <c:dispBlanksAs val="gap"/>
    <c:showDLblsOverMax val="0"/>
    <c:extLst>
      <c:ext uri="{0b15fc19-7d7d-44ad-8c2d-2c3a37ce22c3}">
        <chartProps xmlns="https://web.wps.cn/et/2018/main" chartId="{6537b578-03e3-4f75-bd98-f563c5ba34be}"/>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[贵州市场分析.xlsx]息烽县!$D$65</c:f>
              <c:strCache>
                <c:ptCount val="1"/>
                <c:pt idx="0">
                  <c:v>工业阀门产量（万吨）</c:v>
                </c:pt>
              </c:strCache>
            </c:strRef>
          </c:tx>
          <c:spPr>
            <a:solidFill>
              <a:schemeClr val="accent5"/>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[贵州市场分析.xlsx]息烽县!$C$66:$C$71</c:f>
              <c:strCache>
                <c:ptCount val="6"/>
                <c:pt idx="0">
                  <c:v>2015年</c:v>
                </c:pt>
                <c:pt idx="1">
                  <c:v>2016年</c:v>
                </c:pt>
                <c:pt idx="2">
                  <c:v>2017年</c:v>
                </c:pt>
                <c:pt idx="3">
                  <c:v>2018年</c:v>
                </c:pt>
                <c:pt idx="4">
                  <c:v>2019年</c:v>
                </c:pt>
                <c:pt idx="5">
                  <c:v>2020E</c:v>
                </c:pt>
              </c:strCache>
            </c:strRef>
          </c:cat>
          <c:val>
            <c:numRef>
              <c:f>[贵州市场分析.xlsx]息烽县!$D$66:$D$71</c:f>
              <c:numCache>
                <c:formatCode>General</c:formatCode>
                <c:ptCount val="6"/>
                <c:pt idx="0">
                  <c:v>994.1</c:v>
                </c:pt>
                <c:pt idx="1">
                  <c:v>910.3</c:v>
                </c:pt>
                <c:pt idx="2">
                  <c:v>786</c:v>
                </c:pt>
                <c:pt idx="3">
                  <c:v>486.3</c:v>
                </c:pt>
                <c:pt idx="4">
                  <c:v>652.2</c:v>
                </c:pt>
                <c:pt idx="5" c:formatCode="0.00_ ">
                  <c:v>847.86</c:v>
                </c:pt>
              </c:numCache>
            </c:numRef>
          </c:val>
        </c:ser>
        <c:dLbls>
          <c:showLegendKey val="0"/>
          <c:showVal val="1"/>
          <c:showCatName val="0"/>
          <c:showSerName val="0"/>
          <c:showPercent val="0"/>
          <c:showBubbleSize val="0"/>
        </c:dLbls>
        <c:gapWidth val="219"/>
        <c:overlap val="-27"/>
        <c:axId val="465715596"/>
        <c:axId val="809363116"/>
      </c:barChart>
      <c:catAx>
        <c:axId val="46571559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09363116"/>
        <c:crosses val="autoZero"/>
        <c:auto val="1"/>
        <c:lblAlgn val="ctr"/>
        <c:lblOffset val="100"/>
        <c:noMultiLvlLbl val="0"/>
      </c:catAx>
      <c:valAx>
        <c:axId val="809363116"/>
        <c:scaling>
          <c:orientation val="minMax"/>
        </c:scaling>
        <c:delete val="0"/>
        <c:axPos val="l"/>
        <c:numFmt formatCode="General" sourceLinked="1"/>
        <c:majorTickMark val="in"/>
        <c:minorTickMark val="none"/>
        <c:tickLblPos val="nextTo"/>
        <c:spPr>
          <a:noFill/>
          <a:ln>
            <a:solidFill>
              <a:schemeClr val="bg1">
                <a:lumMod val="75000"/>
              </a:schemeClr>
            </a:solid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65715596"/>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19901bde-0904-4102-a810-2d412ee4323a}"/>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29</Pages>
  <Words>6739</Words>
  <Characters>7174</Characters>
  <Lines>80</Lines>
  <Paragraphs>22</Paragraphs>
  <TotalTime>1230</TotalTime>
  <ScaleCrop>false</ScaleCrop>
  <LinksUpToDate>false</LinksUpToDate>
  <CharactersWithSpaces>7255</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2021-07-06T08:20:00Z</dcterms:created>
  <dc:creator>China</dc:creator>
  <cp:lastModifiedBy>啊哈哈哈</cp:lastModifiedBy>
  <cp:lastPrinted>2021-10-26T03:31:00Z</cp:lastPrinted>
  <dcterms:modified xsi:type="dcterms:W3CDTF">2024-12-27T06:46:31Z</dcterms:modified>
  <cp:revision>202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BB1FAA63E280422F90CC45D0AB7D2C7A_12</vt:lpwstr>
  </property>
  <property fmtid="{D5CDD505-2E9C-101B-9397-08002B2CF9AE}" pid="4" name="KSOTemplateDocerSaveRecord">
    <vt:lpwstr>eyJoZGlkIjoiZjY4Y2ZmOTg0YWEzNDNiYjhjYTBhNzg1ZDRjNWJiYTIiLCJ1c2VySWQiOiIzMDA2MzE5NDkifQ==</vt:lpwstr>
  </property>
</Properties>
</file>