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49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关于促进贵阳贵安磷氟化工产业高质量</w:t>
      </w:r>
    </w:p>
    <w:p w14:paraId="654CD0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发展的</w:t>
      </w:r>
      <w:r>
        <w:rPr>
          <w:rFonts w:hint="eastAsia" w:ascii="方正小标宋简体" w:hAnsi="方正小标宋简体" w:eastAsia="方正小标宋简体" w:cs="方正小标宋简体"/>
          <w:sz w:val="44"/>
          <w:szCs w:val="44"/>
          <w:lang w:val="en-US" w:eastAsia="zh-CN"/>
        </w:rPr>
        <w:t>若干措施</w:t>
      </w:r>
      <w:r>
        <w:rPr>
          <w:rFonts w:hint="eastAsia" w:ascii="方正小标宋简体" w:hAnsi="方正小标宋简体" w:eastAsia="方正小标宋简体" w:cs="方正小标宋简体"/>
          <w:sz w:val="44"/>
          <w:szCs w:val="44"/>
        </w:rPr>
        <w:t>（试行）</w:t>
      </w:r>
    </w:p>
    <w:p w14:paraId="673242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2A80261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kern w:val="2"/>
          <w:sz w:val="32"/>
          <w:szCs w:val="32"/>
          <w:highlight w:val="none"/>
          <w:lang w:val="en-US" w:eastAsia="zh-CN" w:bidi="ar-SA"/>
        </w:rPr>
      </w:pPr>
    </w:p>
    <w:p w14:paraId="7346A0D0">
      <w:pPr>
        <w:pStyle w:val="19"/>
        <w:keepNext w:val="0"/>
        <w:keepLines w:val="0"/>
        <w:pageBreakBefore w:val="0"/>
        <w:kinsoku/>
        <w:wordWrap/>
        <w:overflowPunct/>
        <w:topLinePunct w:val="0"/>
        <w:autoSpaceDE/>
        <w:autoSpaceDN/>
        <w:bidi w:val="0"/>
        <w:spacing w:line="600" w:lineRule="exact"/>
        <w:textAlignment w:val="auto"/>
        <w:rPr>
          <w:rFonts w:hint="default"/>
          <w:lang w:val="en-US"/>
        </w:rPr>
      </w:pPr>
      <w:r>
        <w:rPr>
          <w:rFonts w:hint="eastAsia"/>
        </w:rPr>
        <w:t>为</w:t>
      </w:r>
      <w:r>
        <w:rPr>
          <w:rFonts w:hint="eastAsia"/>
          <w:lang w:val="en-US" w:eastAsia="zh-CN"/>
        </w:rPr>
        <w:t>深入贯彻落实《工业和信息化部等八部门关于印发&lt;推进磷资源高效高值利用实施方案&gt;的通知》和《工业和信息化部等九部门关于印发&lt;精细化工产业创新发展实施方案（2024—2027年）&gt;的通知》精神，围绕全省“3533”重点产业集群目标，按照“区域集聚、主体集中”的原则。加快推进贵阳贵安磷氟化工产业集聚发展，现提出如下实施措施。</w:t>
      </w:r>
    </w:p>
    <w:p w14:paraId="30CD2CEA">
      <w:pPr>
        <w:keepNext w:val="0"/>
        <w:keepLines w:val="0"/>
        <w:pageBreakBefore w:val="0"/>
        <w:numPr>
          <w:ilvl w:val="0"/>
          <w:numId w:val="0"/>
        </w:numPr>
        <w:tabs>
          <w:tab w:val="left" w:pos="3303"/>
        </w:tabs>
        <w:kinsoku/>
        <w:wordWrap/>
        <w:overflowPunct/>
        <w:topLinePunct w:val="0"/>
        <w:autoSpaceDE/>
        <w:autoSpaceDN/>
        <w:bidi w:val="0"/>
        <w:adjustRightInd w:val="0"/>
        <w:snapToGrid w:val="0"/>
        <w:spacing w:beforeAutospacing="0" w:line="600" w:lineRule="exact"/>
        <w:ind w:firstLine="640" w:firstLineChars="200"/>
        <w:textAlignment w:val="auto"/>
        <w:rPr>
          <w:rFonts w:hint="default" w:ascii="黑体" w:hAnsi="黑体" w:eastAsia="黑体" w:cs="黑体"/>
          <w:bCs/>
          <w:strike w:val="0"/>
          <w:dstrike w:val="0"/>
          <w:color w:val="auto"/>
          <w:kern w:val="0"/>
          <w:sz w:val="32"/>
          <w:szCs w:val="32"/>
          <w:highlight w:val="none"/>
          <w:shd w:val="clear" w:color="auto" w:fill="auto"/>
          <w:lang w:val="en-US" w:eastAsia="zh-CN"/>
        </w:rPr>
      </w:pPr>
      <w:r>
        <w:rPr>
          <w:rFonts w:hint="eastAsia" w:ascii="黑体" w:hAnsi="黑体" w:eastAsia="黑体" w:cs="黑体"/>
          <w:bCs/>
          <w:strike w:val="0"/>
          <w:dstrike w:val="0"/>
          <w:color w:val="auto"/>
          <w:kern w:val="0"/>
          <w:sz w:val="32"/>
          <w:szCs w:val="32"/>
          <w:highlight w:val="none"/>
          <w:shd w:val="clear" w:color="auto" w:fill="auto"/>
          <w:lang w:val="en-US" w:eastAsia="zh-CN"/>
        </w:rPr>
        <w:t>一、指导思想</w:t>
      </w:r>
    </w:p>
    <w:p w14:paraId="30C9A0B8">
      <w:pPr>
        <w:pStyle w:val="19"/>
        <w:keepNext w:val="0"/>
        <w:keepLines w:val="0"/>
        <w:pageBreakBefore w:val="0"/>
        <w:kinsoku/>
        <w:wordWrap/>
        <w:overflowPunct/>
        <w:topLinePunct w:val="0"/>
        <w:autoSpaceDE/>
        <w:autoSpaceDN/>
        <w:bidi w:val="0"/>
        <w:spacing w:line="600" w:lineRule="exact"/>
        <w:textAlignment w:val="auto"/>
        <w:rPr>
          <w:rFonts w:hint="eastAsia"/>
          <w:lang w:val="en-US" w:eastAsia="zh-CN"/>
        </w:rPr>
      </w:pPr>
      <w:r>
        <w:rPr>
          <w:rFonts w:hint="eastAsia"/>
          <w:lang w:val="en-US" w:eastAsia="zh-CN"/>
        </w:rPr>
        <w:t>以习近平新时代中国特色社会主义思想为指导，深入贯彻习近平总书记视察贵州重要讲话精神，重点推进《国务院关于支持贵州在新时代西部大开发上闯新路的意见》（国发〔2022〕2号）文件明确主要任务，坚持以高质量发展统揽全局，全面落实“富矿精开”战略部署，大抓产业、大抓项目、大抓招商，以优质磷资源为基础，深入实施产业强链延链增链行动，</w:t>
      </w:r>
      <w:r>
        <w:rPr>
          <w:rFonts w:hint="eastAsia"/>
        </w:rPr>
        <w:t>坚持“做优存量、培育增量”，推动</w:t>
      </w:r>
      <w:r>
        <w:rPr>
          <w:rFonts w:hint="eastAsia"/>
          <w:lang w:val="en-US" w:eastAsia="zh-CN"/>
        </w:rPr>
        <w:t>贵阳贵安磷氟化工</w:t>
      </w:r>
      <w:r>
        <w:rPr>
          <w:rFonts w:hint="eastAsia"/>
        </w:rPr>
        <w:t>企业扩大产能，</w:t>
      </w:r>
      <w:r>
        <w:rPr>
          <w:rFonts w:hint="eastAsia"/>
          <w:lang w:val="en-US" w:eastAsia="zh-CN"/>
        </w:rPr>
        <w:t>引进新的企业丰富产品类型，不断</w:t>
      </w:r>
      <w:r>
        <w:rPr>
          <w:rFonts w:hint="eastAsia"/>
        </w:rPr>
        <w:t>提升产品质量和产量规模，</w:t>
      </w:r>
      <w:r>
        <w:rPr>
          <w:rFonts w:hint="eastAsia"/>
          <w:lang w:val="en-US" w:eastAsia="zh-CN"/>
        </w:rPr>
        <w:t>将贵阳贵安打造为全国磷化工先进制造业集群。</w:t>
      </w:r>
    </w:p>
    <w:p w14:paraId="6E28CA08">
      <w:pPr>
        <w:keepNext w:val="0"/>
        <w:keepLines w:val="0"/>
        <w:pageBreakBefore w:val="0"/>
        <w:widowControl w:val="0"/>
        <w:numPr>
          <w:ilvl w:val="-1"/>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Cs/>
          <w:strike w:val="0"/>
          <w:dstrike w:val="0"/>
          <w:color w:val="auto"/>
          <w:kern w:val="0"/>
          <w:sz w:val="32"/>
          <w:szCs w:val="32"/>
          <w:highlight w:val="none"/>
          <w:shd w:val="clear" w:color="auto" w:fill="auto"/>
          <w:lang w:val="en-US" w:eastAsia="zh-CN"/>
        </w:rPr>
        <w:t>二、主要措施</w:t>
      </w:r>
    </w:p>
    <w:p w14:paraId="04B3E4BD">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eastAsia="仿宋_GB2312" w:cs="Times New Roman"/>
          <w:b/>
          <w:bCs/>
          <w:color w:val="000000" w:themeColor="text1"/>
          <w:sz w:val="32"/>
          <w:szCs w:val="32"/>
          <w:lang w:val="en-US" w:eastAsia="zh-CN"/>
          <w14:textFill>
            <w14:solidFill>
              <w14:schemeClr w14:val="tx1"/>
            </w14:solidFill>
          </w14:textFill>
        </w:rPr>
        <w:t>1</w:t>
      </w:r>
      <w:r>
        <w:rPr>
          <w:rFonts w:hint="eastAsia" w:ascii="Times New Roman" w:eastAsia="仿宋_GB2312" w:cs="Times New Roman"/>
          <w:b/>
          <w:bCs/>
          <w:color w:val="000000" w:themeColor="text1"/>
          <w:sz w:val="32"/>
          <w:szCs w:val="32"/>
          <w:lang w:val="en-US" w:eastAsia="zh-CN"/>
          <w14:textFill>
            <w14:solidFill>
              <w14:schemeClr w14:val="tx1"/>
            </w14:solidFill>
          </w14:textFill>
        </w:rPr>
        <w:t>.支持磷氟化工产业做大规模。</w:t>
      </w:r>
      <w:r>
        <w:rPr>
          <w:rFonts w:hint="eastAsia" w:ascii="Times New Roman" w:eastAsia="仿宋_GB2312" w:cs="Times New Roman"/>
          <w:b w:val="0"/>
          <w:bCs w:val="0"/>
          <w:color w:val="000000" w:themeColor="text1"/>
          <w:sz w:val="32"/>
          <w:szCs w:val="32"/>
          <w:lang w:val="en-US" w:eastAsia="zh-CN"/>
          <w14:textFill>
            <w14:solidFill>
              <w14:schemeClr w14:val="tx1"/>
            </w14:solidFill>
          </w14:textFill>
        </w:rPr>
        <w:t>支持企业新建循环耦合项目，重点发展，重点支持钛白粉联产硫酸亚铁、磷酸铁、磷酸铁锂、碳酸锂、六氟磷酸锂。重点发展工业及食品级磷酸、黄磷精深加工、高附加值精细磷酸盐、高端阻燃剂、超高纯电子化学品、磷系新能源材料和基于氟资源回收及精深加工含氟新材料，构建以新型功能磷复肥为基础、以高端精细磷化工为特色、精细磷、氟产业链相互耦合的发展格局。</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（责任单位：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市工信局、市发改委、市投促局、各区（市、县、开发区）人民政府（管委会）</w:t>
      </w:r>
      <w:r>
        <w:rPr>
          <w:rFonts w:hint="eastAsia" w:ascii="Times New Roman" w:eastAsia="仿宋_GB2312" w:cs="Times New Roman"/>
          <w:b w:val="0"/>
          <w:bCs w:val="0"/>
          <w:color w:val="000000" w:themeColor="text1"/>
          <w:sz w:val="32"/>
          <w:szCs w:val="32"/>
          <w:lang w:eastAsia="zh-CN"/>
          <w14:textFill>
            <w14:solidFill>
              <w14:schemeClr w14:val="tx1"/>
            </w14:solidFill>
          </w14:textFill>
        </w:rPr>
        <w:t>）</w:t>
      </w:r>
    </w:p>
    <w:p w14:paraId="238FBEB8">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eastAsia="仿宋_GB2312" w:cs="Times New Roman"/>
          <w:b/>
          <w:bCs/>
          <w:color w:val="000000" w:themeColor="text1"/>
          <w:sz w:val="32"/>
          <w:szCs w:val="32"/>
          <w:lang w:val="en-US" w:eastAsia="zh-CN"/>
          <w14:textFill>
            <w14:solidFill>
              <w14:schemeClr w14:val="tx1"/>
            </w14:solidFill>
          </w14:textFill>
        </w:rPr>
        <w:t>2.支持磷氟化工延链补链。</w:t>
      </w:r>
      <w:r>
        <w:rPr>
          <w:rStyle w:val="25"/>
          <w:rFonts w:hint="eastAsia"/>
          <w:lang w:val="en-US" w:eastAsia="zh-CN"/>
        </w:rPr>
        <w:t>推动“磷资源”“氟资源” 全产业链开发利用，促进磷氟资源梯级利用，加大磷矿伴生钙、氟、硅、碘、镁等资源利用，提高磷矿资源综合利用率，实现磷矿资源的全元素高效利用。以产业链高端化延伸为重点发展精细磷氟化工，统筹推进磷氟化工产业链填空白、补短板、锻长板、育新板，促进贵阳贵安形成磷氟化工完整产业链条，打造专业化、精细化、特色化、新颖化的产品体系，提升产品附加值，增强核心竞争力。</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（责任单位：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市工信局、市发改委、市投促局、各区（市、县、开发区）人民政府（管委会）</w:t>
      </w:r>
      <w:r>
        <w:rPr>
          <w:rFonts w:hint="eastAsia" w:ascii="Times New Roman" w:eastAsia="仿宋_GB2312" w:cs="Times New Roman"/>
          <w:b w:val="0"/>
          <w:bCs w:val="0"/>
          <w:color w:val="000000" w:themeColor="text1"/>
          <w:sz w:val="32"/>
          <w:szCs w:val="32"/>
          <w:lang w:eastAsia="zh-CN"/>
          <w14:textFill>
            <w14:solidFill>
              <w14:schemeClr w14:val="tx1"/>
            </w14:solidFill>
          </w14:textFill>
        </w:rPr>
        <w:t>）</w:t>
      </w:r>
    </w:p>
    <w:p w14:paraId="75752235">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eastAsia="仿宋_GB2312" w:cs="Times New Roman"/>
          <w:b/>
          <w:bCs/>
          <w:color w:val="000000" w:themeColor="text1"/>
          <w:sz w:val="32"/>
          <w:szCs w:val="32"/>
          <w:lang w:val="en-US" w:eastAsia="zh-CN"/>
          <w14:textFill>
            <w14:solidFill>
              <w14:schemeClr w14:val="tx1"/>
            </w14:solidFill>
          </w14:textFill>
        </w:rPr>
        <w:t>3.支持磷氟化工产业科技创新。</w:t>
      </w:r>
      <w:r>
        <w:rPr>
          <w:rFonts w:hint="eastAsia" w:ascii="Times New Roman" w:eastAsia="仿宋_GB2312" w:cs="Times New Roman"/>
          <w:b w:val="0"/>
          <w:bCs w:val="0"/>
          <w:color w:val="000000" w:themeColor="text1"/>
          <w:sz w:val="32"/>
          <w:szCs w:val="32"/>
          <w:lang w:val="en-US" w:eastAsia="zh-CN"/>
          <w14:textFill>
            <w14:solidFill>
              <w14:schemeClr w14:val="tx1"/>
            </w14:solidFill>
          </w14:textFill>
        </w:rPr>
        <w:t>瞄准战略性、引领性共性技术需求，整合企业、高校、科研院所等创新资源，打造中试平台、</w:t>
      </w:r>
    </w:p>
    <w:p w14:paraId="08F660B6">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eastAsia="仿宋_GB2312" w:cs="Times New Roman"/>
          <w:b w:val="0"/>
          <w:bCs w:val="0"/>
          <w:color w:val="000000" w:themeColor="text1"/>
          <w:sz w:val="32"/>
          <w:szCs w:val="32"/>
          <w:lang w:val="en-US" w:eastAsia="zh-CN"/>
          <w14:textFill>
            <w14:solidFill>
              <w14:schemeClr w14:val="tx1"/>
            </w14:solidFill>
          </w14:textFill>
        </w:rPr>
        <w:t>共性技术研究平台等，提升科技成果转化能力。</w:t>
      </w:r>
      <w:r>
        <w:rPr>
          <w:rFonts w:hint="default" w:ascii="Times New Roman" w:eastAsia="仿宋_GB2312" w:cs="Times New Roman"/>
          <w:b w:val="0"/>
          <w:bCs w:val="0"/>
          <w:color w:val="000000" w:themeColor="text1"/>
          <w:sz w:val="32"/>
          <w:szCs w:val="32"/>
          <w:lang w:val="en-US" w:eastAsia="zh-CN"/>
          <w14:textFill>
            <w14:solidFill>
              <w14:schemeClr w14:val="tx1"/>
            </w14:solidFill>
          </w14:textFill>
        </w:rPr>
        <w:t>支持</w:t>
      </w:r>
      <w:r>
        <w:rPr>
          <w:rFonts w:hint="eastAsia" w:ascii="Times New Roman" w:eastAsia="仿宋_GB2312" w:cs="Times New Roman"/>
          <w:b w:val="0"/>
          <w:bCs w:val="0"/>
          <w:color w:val="000000" w:themeColor="text1"/>
          <w:sz w:val="32"/>
          <w:szCs w:val="32"/>
          <w:lang w:val="en-US" w:eastAsia="zh-CN"/>
          <w14:textFill>
            <w14:solidFill>
              <w14:schemeClr w14:val="tx1"/>
            </w14:solidFill>
          </w14:textFill>
        </w:rPr>
        <w:t>磷氟化工产业</w:t>
      </w:r>
      <w:r>
        <w:rPr>
          <w:rFonts w:hint="eastAsia" w:ascii="仿宋_GB2312" w:hAnsi="仿宋_GB2312" w:eastAsia="仿宋_GB2312" w:cs="仿宋_GB2312"/>
          <w:bCs/>
          <w:strike w:val="0"/>
          <w:dstrike w:val="0"/>
          <w:color w:val="auto"/>
          <w:kern w:val="0"/>
          <w:sz w:val="32"/>
          <w:szCs w:val="32"/>
          <w:highlight w:val="none"/>
          <w:shd w:val="clear" w:color="auto" w:fill="auto"/>
          <w:lang w:val="en-US" w:eastAsia="zh-CN"/>
        </w:rPr>
        <w:t>国有企业、上市公司，国内外行业龙头企业和科研机构、“双一流”高校等在贵阳贵安新建独立法人研发机构、科技创新平台，并引入核心技术、配置核心研发团队开展磷氟化工产业科技创新、项目中试。支持企业开展磷氟化工产业</w:t>
      </w:r>
      <w:r>
        <w:rPr>
          <w:rFonts w:hint="eastAsia" w:ascii="仿宋_GB2312" w:hAnsi="仿宋_GB2312" w:eastAsia="仿宋_GB2312" w:cs="仿宋_GB2312"/>
          <w:color w:val="auto"/>
          <w:sz w:val="32"/>
          <w:szCs w:val="40"/>
          <w:highlight w:val="none"/>
          <w:shd w:val="clear" w:color="auto" w:fill="auto"/>
          <w:lang w:val="en-US" w:eastAsia="zh-CN"/>
        </w:rPr>
        <w:t>技术升级、产品迭代。</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（责任单位：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市科技局、市工信局、市发改委、市投促局、各区（市、县、开发区）人民政府（管委会）</w:t>
      </w:r>
      <w:r>
        <w:rPr>
          <w:rFonts w:hint="eastAsia" w:ascii="Times New Roman" w:eastAsia="仿宋_GB2312" w:cs="Times New Roman"/>
          <w:b w:val="0"/>
          <w:bCs w:val="0"/>
          <w:color w:val="000000" w:themeColor="text1"/>
          <w:sz w:val="32"/>
          <w:szCs w:val="32"/>
          <w:lang w:eastAsia="zh-CN"/>
          <w14:textFill>
            <w14:solidFill>
              <w14:schemeClr w14:val="tx1"/>
            </w14:solidFill>
          </w14:textFill>
        </w:rPr>
        <w:t>）</w:t>
      </w:r>
    </w:p>
    <w:p w14:paraId="1F363D8B">
      <w:pPr>
        <w:pStyle w:val="19"/>
        <w:keepNext w:val="0"/>
        <w:keepLines w:val="0"/>
        <w:pageBreakBefore w:val="0"/>
        <w:kinsoku/>
        <w:wordWrap/>
        <w:overflowPunct/>
        <w:topLinePunct w:val="0"/>
        <w:autoSpaceDE/>
        <w:autoSpaceDN/>
        <w:bidi w:val="0"/>
        <w:spacing w:line="600" w:lineRule="exact"/>
        <w:textAlignment w:val="auto"/>
        <w:rPr>
          <w:rFonts w:hint="eastAsia"/>
          <w:lang w:eastAsia="zh-CN"/>
        </w:rPr>
      </w:pPr>
      <w:r>
        <w:rPr>
          <w:rFonts w:hint="eastAsia"/>
          <w:b/>
          <w:bCs/>
          <w:lang w:val="en-US" w:eastAsia="zh-CN"/>
        </w:rPr>
        <w:t>4.支持磷氟化工产业绿色发展。</w:t>
      </w:r>
      <w:r>
        <w:rPr>
          <w:rFonts w:hint="eastAsia"/>
          <w:lang w:val="en-US" w:eastAsia="zh-CN"/>
        </w:rPr>
        <w:t>加快磷化工余热余压利用、过程热集成、高效节能等节能降碳技术装备推广应用，打造节能降碳发展模式。围绕磷矿资源开采、磷化学品生产加工、废弃物排放处理等环节，全面推进清洁生产。推进磷石膏无害化处理和“三废”综合利用，支持打造一批绿色工厂、绿色设计、绿色产品和绿色供应链，绿色设计示范企业等绿色制造示范单位。</w:t>
      </w:r>
      <w:r>
        <w:rPr>
          <w:rFonts w:hint="eastAsia"/>
          <w:lang w:eastAsia="zh-CN"/>
        </w:rPr>
        <w:t>（责任单位：</w:t>
      </w:r>
      <w:r>
        <w:rPr>
          <w:rFonts w:hint="eastAsia"/>
          <w:lang w:val="en-US" w:eastAsia="zh-CN"/>
        </w:rPr>
        <w:t>市发改委、市生态环境局、市工信局、市财政局、</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各区（市、县、开发区）人民政府（管委会）</w:t>
      </w:r>
      <w:r>
        <w:rPr>
          <w:rFonts w:hint="eastAsia"/>
          <w:lang w:eastAsia="zh-CN"/>
        </w:rPr>
        <w:t>）</w:t>
      </w:r>
    </w:p>
    <w:p w14:paraId="30011E97">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eastAsia="仿宋_GB2312" w:cs="Times New Roman"/>
          <w:b/>
          <w:bCs/>
          <w:color w:val="000000" w:themeColor="text1"/>
          <w:sz w:val="32"/>
          <w:szCs w:val="32"/>
          <w:lang w:val="en-US" w:eastAsia="zh-CN"/>
          <w14:textFill>
            <w14:solidFill>
              <w14:schemeClr w14:val="tx1"/>
            </w14:solidFill>
          </w14:textFill>
        </w:rPr>
        <w:t>5.支持磷氟化工产业提质增效</w:t>
      </w:r>
      <w:r>
        <w:rPr>
          <w:rFonts w:hint="eastAsia" w:ascii="Times New Roman" w:eastAsia="仿宋_GB2312" w:cs="Times New Roman"/>
          <w:b w:val="0"/>
          <w:bCs w:val="0"/>
          <w:color w:val="000000" w:themeColor="text1"/>
          <w:sz w:val="32"/>
          <w:szCs w:val="32"/>
          <w:lang w:val="en-US" w:eastAsia="zh-CN"/>
          <w14:textFill>
            <w14:solidFill>
              <w14:schemeClr w14:val="tx1"/>
            </w14:solidFill>
          </w14:textFill>
        </w:rPr>
        <w:t>。对市确定的重点项目以及重点扶持的企业、重大项目和重点技改项目等，优先安排土地计划指标；支持企业通过技术改造、科技创新、优化布局实现集约节约用地，提升亩均产值。</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（责任单位：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市自然资源局、市工信局、市发改委、各区（市、县、开发区）人民政府（管委会）</w:t>
      </w:r>
      <w:r>
        <w:rPr>
          <w:rFonts w:hint="eastAsia" w:ascii="Times New Roman" w:eastAsia="仿宋_GB2312" w:cs="Times New Roman"/>
          <w:b w:val="0"/>
          <w:bCs w:val="0"/>
          <w:color w:val="000000" w:themeColor="text1"/>
          <w:sz w:val="32"/>
          <w:szCs w:val="32"/>
          <w:lang w:eastAsia="zh-CN"/>
          <w14:textFill>
            <w14:solidFill>
              <w14:schemeClr w14:val="tx1"/>
            </w14:solidFill>
          </w14:textFill>
        </w:rPr>
        <w:t>）</w:t>
      </w:r>
    </w:p>
    <w:p w14:paraId="14C68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三、强化组织</w:t>
      </w:r>
      <w:r>
        <w:rPr>
          <w:rFonts w:hint="eastAsia" w:ascii="黑体" w:hAnsi="黑体" w:eastAsia="黑体" w:cs="黑体"/>
          <w:b w:val="0"/>
          <w:bCs w:val="0"/>
          <w:color w:val="000000" w:themeColor="text1"/>
          <w:kern w:val="2"/>
          <w:sz w:val="32"/>
          <w:szCs w:val="32"/>
          <w:highlight w:val="none"/>
          <w:lang w:val="en-US" w:eastAsia="zh-CN" w:bidi="ar"/>
          <w14:textFill>
            <w14:solidFill>
              <w14:schemeClr w14:val="tx1"/>
            </w14:solidFill>
          </w14:textFill>
        </w:rPr>
        <w:t>保</w:t>
      </w:r>
      <w:r>
        <w:rPr>
          <w:rFonts w:hint="eastAsia" w:ascii="黑体" w:hAnsi="黑体" w:eastAsia="黑体" w:cs="黑体"/>
          <w:b w:val="0"/>
          <w:bCs w:val="0"/>
          <w:color w:val="000000" w:themeColor="text1"/>
          <w:kern w:val="2"/>
          <w:sz w:val="32"/>
          <w:szCs w:val="32"/>
          <w:lang w:val="en-US" w:eastAsia="zh-CN" w:bidi="ar"/>
          <w14:textFill>
            <w14:solidFill>
              <w14:schemeClr w14:val="tx1"/>
            </w14:solidFill>
          </w14:textFill>
        </w:rPr>
        <w:t>障</w:t>
      </w:r>
    </w:p>
    <w:p w14:paraId="68B0FC7F">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6.资金支持。</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从2025年起，由市财政通过转移支付连续3年给予贵阳贵安磷氟化工产业扶持资金支持。</w:t>
      </w:r>
      <w:r>
        <w:rPr>
          <w:rFonts w:hint="eastAsia" w:ascii="Times New Roman" w:hAnsi="Times New Roman" w:eastAsia="仿宋_GB2312" w:cs="Times New Roman"/>
          <w:b w:val="0"/>
          <w:bCs w:val="0"/>
          <w:color w:val="auto"/>
          <w:sz w:val="32"/>
          <w:szCs w:val="32"/>
          <w:highlight w:val="none"/>
          <w:lang w:val="en-US" w:eastAsia="zh-CN"/>
        </w:rPr>
        <w:t>总计不超过1.5亿元，由贵</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阳贵安统筹用于支持磷氟化工产业发展。（责任单位：市财政局）</w:t>
      </w:r>
    </w:p>
    <w:p w14:paraId="7B0A20EA">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7.强化督导问效。</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贵阳贵安磷氟化工产业重大项目推进工作专班办公室定期对市有关单位和贵阳贵安工作推进落实情况进行调度，适时将重大事项提请专班研究协调解决。</w:t>
      </w:r>
    </w:p>
    <w:p w14:paraId="0727B85A">
      <w:pPr>
        <w:keepNext w:val="0"/>
        <w:keepLines w:val="0"/>
        <w:pageBreakBefore w:val="0"/>
        <w:kinsoku/>
        <w:wordWrap/>
        <w:overflowPunct/>
        <w:topLinePunct w:val="0"/>
        <w:autoSpaceDE/>
        <w:autoSpaceDN/>
        <w:bidi w:val="0"/>
        <w:spacing w:line="60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C9E5">
    <w:pPr>
      <w:pStyle w:val="1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08E9B">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08E9B">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ZjU4OWY4MzY4N2JiMDE3ZjNlMGY2ZDhlZjQyZTgifQ=="/>
  </w:docVars>
  <w:rsids>
    <w:rsidRoot w:val="00172A27"/>
    <w:rsid w:val="003E471C"/>
    <w:rsid w:val="00594DF2"/>
    <w:rsid w:val="00D07AB6"/>
    <w:rsid w:val="00F574FD"/>
    <w:rsid w:val="012C3976"/>
    <w:rsid w:val="01C25063"/>
    <w:rsid w:val="022B0C2F"/>
    <w:rsid w:val="03874B21"/>
    <w:rsid w:val="046E3789"/>
    <w:rsid w:val="05003A24"/>
    <w:rsid w:val="0518094F"/>
    <w:rsid w:val="05520AFD"/>
    <w:rsid w:val="072F1CE3"/>
    <w:rsid w:val="09444DAA"/>
    <w:rsid w:val="094947AB"/>
    <w:rsid w:val="096C4FE6"/>
    <w:rsid w:val="096E3F9B"/>
    <w:rsid w:val="0B512FBD"/>
    <w:rsid w:val="0CA96EE6"/>
    <w:rsid w:val="0CE51BDA"/>
    <w:rsid w:val="109727C5"/>
    <w:rsid w:val="113E1195"/>
    <w:rsid w:val="143176AA"/>
    <w:rsid w:val="14397C1F"/>
    <w:rsid w:val="15231830"/>
    <w:rsid w:val="16EB45C9"/>
    <w:rsid w:val="17A61963"/>
    <w:rsid w:val="199D59E5"/>
    <w:rsid w:val="1A126467"/>
    <w:rsid w:val="1A7547CE"/>
    <w:rsid w:val="1B1A6E82"/>
    <w:rsid w:val="1D516B12"/>
    <w:rsid w:val="1DA93A37"/>
    <w:rsid w:val="1E654C34"/>
    <w:rsid w:val="1E7A4110"/>
    <w:rsid w:val="1EC91389"/>
    <w:rsid w:val="1FEC3770"/>
    <w:rsid w:val="20137F7E"/>
    <w:rsid w:val="213B7A4B"/>
    <w:rsid w:val="22284FDC"/>
    <w:rsid w:val="22DA0585"/>
    <w:rsid w:val="238C7DAB"/>
    <w:rsid w:val="23C05AC9"/>
    <w:rsid w:val="25D92665"/>
    <w:rsid w:val="26033F46"/>
    <w:rsid w:val="26A513E1"/>
    <w:rsid w:val="27436130"/>
    <w:rsid w:val="275951D7"/>
    <w:rsid w:val="284F091F"/>
    <w:rsid w:val="28CD0A89"/>
    <w:rsid w:val="291629D7"/>
    <w:rsid w:val="291B713F"/>
    <w:rsid w:val="2A26110E"/>
    <w:rsid w:val="2B3502C8"/>
    <w:rsid w:val="2C5D23DD"/>
    <w:rsid w:val="2CD96B03"/>
    <w:rsid w:val="2D3470CC"/>
    <w:rsid w:val="2E5C226C"/>
    <w:rsid w:val="2EAC6FD7"/>
    <w:rsid w:val="2F310651"/>
    <w:rsid w:val="31E54C03"/>
    <w:rsid w:val="32DF2CE2"/>
    <w:rsid w:val="33241D80"/>
    <w:rsid w:val="335453C3"/>
    <w:rsid w:val="337F0DAE"/>
    <w:rsid w:val="33DD0DE5"/>
    <w:rsid w:val="33EB7F69"/>
    <w:rsid w:val="34581DED"/>
    <w:rsid w:val="36B77FD3"/>
    <w:rsid w:val="36C56284"/>
    <w:rsid w:val="3790428C"/>
    <w:rsid w:val="38656C7E"/>
    <w:rsid w:val="39B16F67"/>
    <w:rsid w:val="3A6D4BB0"/>
    <w:rsid w:val="3A7E497F"/>
    <w:rsid w:val="3AE44C86"/>
    <w:rsid w:val="3B8D30F8"/>
    <w:rsid w:val="3C9B73EB"/>
    <w:rsid w:val="3CDB298B"/>
    <w:rsid w:val="3DCE4354"/>
    <w:rsid w:val="41855B12"/>
    <w:rsid w:val="41861082"/>
    <w:rsid w:val="42612BFF"/>
    <w:rsid w:val="426268F6"/>
    <w:rsid w:val="42C94CB0"/>
    <w:rsid w:val="4331276C"/>
    <w:rsid w:val="43395576"/>
    <w:rsid w:val="434317B6"/>
    <w:rsid w:val="47D97EFB"/>
    <w:rsid w:val="48D24615"/>
    <w:rsid w:val="48EA60B0"/>
    <w:rsid w:val="49605F9C"/>
    <w:rsid w:val="497A0CEE"/>
    <w:rsid w:val="4AA07C36"/>
    <w:rsid w:val="4BFA03C3"/>
    <w:rsid w:val="4C845701"/>
    <w:rsid w:val="4DFC3454"/>
    <w:rsid w:val="4F4C612A"/>
    <w:rsid w:val="50AC01BE"/>
    <w:rsid w:val="51145C1C"/>
    <w:rsid w:val="5256157C"/>
    <w:rsid w:val="52EA51DD"/>
    <w:rsid w:val="53D142A5"/>
    <w:rsid w:val="542B2C4D"/>
    <w:rsid w:val="54A31643"/>
    <w:rsid w:val="54CB379F"/>
    <w:rsid w:val="56E015E4"/>
    <w:rsid w:val="58C34506"/>
    <w:rsid w:val="5B1C27DC"/>
    <w:rsid w:val="5B45147B"/>
    <w:rsid w:val="5BF55DB2"/>
    <w:rsid w:val="5C715200"/>
    <w:rsid w:val="5DC96777"/>
    <w:rsid w:val="5E102CC5"/>
    <w:rsid w:val="5F1342B0"/>
    <w:rsid w:val="62954FE6"/>
    <w:rsid w:val="63980F7F"/>
    <w:rsid w:val="678C1693"/>
    <w:rsid w:val="68016A6B"/>
    <w:rsid w:val="6E611C18"/>
    <w:rsid w:val="6E8C1770"/>
    <w:rsid w:val="6F20430D"/>
    <w:rsid w:val="70006591"/>
    <w:rsid w:val="7017085E"/>
    <w:rsid w:val="706E7D1B"/>
    <w:rsid w:val="70D73ABC"/>
    <w:rsid w:val="73864320"/>
    <w:rsid w:val="73EE5C7F"/>
    <w:rsid w:val="749667C7"/>
    <w:rsid w:val="752D4EC9"/>
    <w:rsid w:val="794D6C65"/>
    <w:rsid w:val="7B750463"/>
    <w:rsid w:val="7BCF5825"/>
    <w:rsid w:val="7BFC23F6"/>
    <w:rsid w:val="7BFC6E4F"/>
    <w:rsid w:val="7C213A78"/>
    <w:rsid w:val="7D7B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24"/>
    <w:qFormat/>
    <w:uiPriority w:val="0"/>
    <w:pPr>
      <w:keepNext w:val="0"/>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7">
    <w:name w:val="heading 2"/>
    <w:basedOn w:val="1"/>
    <w:next w:val="1"/>
    <w:link w:val="21"/>
    <w:semiHidden/>
    <w:unhideWhenUsed/>
    <w:qFormat/>
    <w:uiPriority w:val="0"/>
    <w:pPr>
      <w:keepNext w:val="0"/>
      <w:keepLines w:val="0"/>
      <w:widowControl w:val="0"/>
      <w:spacing w:line="560" w:lineRule="exact"/>
      <w:ind w:firstLine="640" w:firstLineChars="200"/>
      <w:jc w:val="both"/>
      <w:outlineLvl w:val="1"/>
    </w:pPr>
    <w:rPr>
      <w:rFonts w:ascii="黑体" w:hAnsi="黑体" w:eastAsia="黑体" w:cs="Times New Roman"/>
      <w:bCs/>
      <w:sz w:val="32"/>
      <w:szCs w:val="32"/>
    </w:rPr>
  </w:style>
  <w:style w:type="paragraph" w:styleId="8">
    <w:name w:val="heading 3"/>
    <w:basedOn w:val="1"/>
    <w:next w:val="1"/>
    <w:link w:val="20"/>
    <w:semiHidden/>
    <w:unhideWhenUsed/>
    <w:qFormat/>
    <w:uiPriority w:val="0"/>
    <w:pPr>
      <w:keepNext w:val="0"/>
      <w:keepLines w:val="0"/>
      <w:spacing w:line="560" w:lineRule="exact"/>
      <w:ind w:firstLine="880" w:firstLineChars="200"/>
      <w:outlineLvl w:val="2"/>
    </w:pPr>
    <w:rPr>
      <w:rFonts w:ascii="楷体_GB2312" w:hAnsi="楷体_GB2312" w:eastAsia="楷体_GB2312" w:cs="仿宋_GB2312"/>
      <w:sz w:val="32"/>
      <w:szCs w:val="32"/>
    </w:rPr>
  </w:style>
  <w:style w:type="paragraph" w:styleId="9">
    <w:name w:val="heading 4"/>
    <w:basedOn w:val="1"/>
    <w:next w:val="1"/>
    <w:link w:val="33"/>
    <w:semiHidden/>
    <w:unhideWhenUsed/>
    <w:qFormat/>
    <w:uiPriority w:val="0"/>
    <w:pPr>
      <w:keepNext w:val="0"/>
      <w:keepLines w:val="0"/>
      <w:spacing w:beforeLines="0" w:beforeAutospacing="0" w:afterLines="0" w:afterAutospacing="0" w:line="560" w:lineRule="exact"/>
      <w:ind w:firstLine="880" w:firstLineChars="200"/>
      <w:outlineLvl w:val="3"/>
    </w:pPr>
    <w:rPr>
      <w:rFonts w:ascii="仿宋_GB2312" w:hAnsi="仿宋_GB2312" w:eastAsia="仿宋_GB2312" w:cs="黑体"/>
      <w:b/>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index 9"/>
    <w:basedOn w:val="1"/>
    <w:next w:val="1"/>
    <w:qFormat/>
    <w:uiPriority w:val="0"/>
    <w:pPr>
      <w:ind w:left="3360"/>
    </w:pPr>
  </w:style>
  <w:style w:type="paragraph" w:styleId="10">
    <w:name w:val="table of authorities"/>
    <w:basedOn w:val="1"/>
    <w:next w:val="1"/>
    <w:qFormat/>
    <w:uiPriority w:val="0"/>
    <w:pPr>
      <w:ind w:left="420" w:leftChars="200"/>
    </w:pPr>
  </w:style>
  <w:style w:type="paragraph" w:styleId="11">
    <w:name w:val="Normal Indent"/>
    <w:basedOn w:val="1"/>
    <w:qFormat/>
    <w:uiPriority w:val="0"/>
    <w:pPr>
      <w:ind w:firstLine="420"/>
    </w:pPr>
  </w:style>
  <w:style w:type="paragraph" w:styleId="12">
    <w:name w:val="Body Text"/>
    <w:basedOn w:val="1"/>
    <w:qFormat/>
    <w:uiPriority w:val="0"/>
    <w:pPr>
      <w:spacing w:line="560" w:lineRule="exact"/>
      <w:ind w:firstLine="880" w:firstLineChars="200"/>
    </w:pPr>
    <w:rPr>
      <w:rFonts w:ascii="仿宋_GB2312" w:hAnsi="仿宋_GB2312" w:eastAsia="仿宋_GB2312" w:cs="仿宋_GB2312"/>
      <w:sz w:val="32"/>
      <w:szCs w:val="32"/>
    </w:rPr>
  </w:style>
  <w:style w:type="paragraph" w:styleId="13">
    <w:name w:val="footer"/>
    <w:basedOn w:val="1"/>
    <w:qFormat/>
    <w:uiPriority w:val="0"/>
    <w:pPr>
      <w:tabs>
        <w:tab w:val="center" w:pos="4153"/>
        <w:tab w:val="right" w:pos="8306"/>
      </w:tabs>
      <w:snapToGrid w:val="0"/>
      <w:jc w:val="left"/>
    </w:pPr>
    <w:rPr>
      <w:rFonts w:ascii="宋体" w:hAnsi="宋体" w:eastAsia="宋体" w:cs="宋体"/>
      <w:sz w:val="28"/>
      <w:szCs w:val="2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ind w:left="880" w:hanging="880" w:hangingChars="200"/>
    </w:pPr>
    <w:rPr>
      <w:rFonts w:ascii="仿宋_GB2312" w:hAnsi="仿宋_GB2312" w:eastAsia="仿宋_GB2312" w:cs="仿宋_GB2312"/>
      <w:sz w:val="32"/>
      <w:szCs w:val="32"/>
    </w:rPr>
  </w:style>
  <w:style w:type="paragraph" w:styleId="16">
    <w:name w:val="footnote text"/>
    <w:basedOn w:val="1"/>
    <w:qFormat/>
    <w:uiPriority w:val="0"/>
    <w:pPr>
      <w:snapToGrid w:val="0"/>
      <w:jc w:val="left"/>
    </w:pPr>
    <w:rPr>
      <w:rFonts w:ascii="仿宋_GB2312" w:hAnsi="仿宋_GB2312" w:eastAsia="仿宋_GB2312" w:cs="仿宋_GB2312"/>
      <w:sz w:val="21"/>
      <w:szCs w:val="21"/>
    </w:rPr>
  </w:style>
  <w:style w:type="paragraph" w:customStyle="1" w:styleId="19">
    <w:name w:val="公文正文"/>
    <w:basedOn w:val="1"/>
    <w:link w:val="25"/>
    <w:qFormat/>
    <w:uiPriority w:val="0"/>
    <w:pPr>
      <w:keepNext w:val="0"/>
      <w:widowControl w:val="0"/>
      <w:snapToGrid/>
      <w:spacing w:line="560" w:lineRule="exact"/>
      <w:ind w:firstLine="792" w:firstLineChars="200"/>
      <w:jc w:val="both"/>
    </w:pPr>
    <w:rPr>
      <w:rFonts w:ascii="仿宋_GB2312" w:hAnsi="仿宋_GB2312" w:eastAsia="仿宋_GB2312" w:cs="仿宋_GB2312"/>
      <w:sz w:val="32"/>
      <w:szCs w:val="32"/>
    </w:rPr>
  </w:style>
  <w:style w:type="character" w:customStyle="1" w:styleId="20">
    <w:name w:val="标题 3 Char"/>
    <w:link w:val="8"/>
    <w:qFormat/>
    <w:uiPriority w:val="0"/>
    <w:rPr>
      <w:rFonts w:ascii="仿宋_GB2312" w:hAnsi="仿宋_GB2312" w:eastAsia="楷体_GB2312" w:cs="仿宋_GB2312"/>
      <w:sz w:val="32"/>
      <w:szCs w:val="32"/>
    </w:rPr>
  </w:style>
  <w:style w:type="character" w:customStyle="1" w:styleId="21">
    <w:name w:val="标题 2 Char"/>
    <w:link w:val="7"/>
    <w:qFormat/>
    <w:uiPriority w:val="0"/>
    <w:rPr>
      <w:rFonts w:ascii="黑体" w:hAnsi="黑体" w:eastAsia="黑体" w:cs="Times New Roman"/>
      <w:sz w:val="32"/>
      <w:szCs w:val="32"/>
    </w:rPr>
  </w:style>
  <w:style w:type="paragraph" w:customStyle="1" w:styleId="22">
    <w:name w:val="标准正文"/>
    <w:basedOn w:val="1"/>
    <w:link w:val="26"/>
    <w:qFormat/>
    <w:uiPriority w:val="0"/>
    <w:pPr>
      <w:spacing w:line="560" w:lineRule="exact"/>
      <w:ind w:firstLine="880" w:firstLineChars="200"/>
      <w:jc w:val="both"/>
    </w:pPr>
    <w:rPr>
      <w:rFonts w:ascii="仿宋_GB2312" w:hAnsi="仿宋_GB2312" w:eastAsia="仿宋_GB2312" w:cs="宋体"/>
      <w:sz w:val="32"/>
      <w:szCs w:val="32"/>
    </w:rPr>
  </w:style>
  <w:style w:type="paragraph" w:customStyle="1" w:styleId="23">
    <w:name w:val="样式2"/>
    <w:basedOn w:val="1"/>
    <w:qFormat/>
    <w:uiPriority w:val="0"/>
    <w:pPr>
      <w:spacing w:line="320" w:lineRule="exact"/>
      <w:ind w:firstLine="0" w:firstLineChars="0"/>
      <w:jc w:val="center"/>
    </w:pPr>
    <w:rPr>
      <w:rFonts w:ascii="仿宋_GB2312" w:hAnsi="仿宋_GB2312" w:eastAsia="仿宋_GB2312" w:cs="仿宋_GB2312"/>
      <w:sz w:val="24"/>
      <w:szCs w:val="32"/>
    </w:rPr>
  </w:style>
  <w:style w:type="character" w:customStyle="1" w:styleId="24">
    <w:name w:val="标题 1 Char"/>
    <w:link w:val="6"/>
    <w:qFormat/>
    <w:uiPriority w:val="0"/>
    <w:rPr>
      <w:rFonts w:ascii="方正小标宋简体" w:hAnsi="方正小标宋简体" w:eastAsia="方正小标宋简体" w:cs="方正小标宋简体"/>
      <w:kern w:val="44"/>
      <w:sz w:val="44"/>
      <w:szCs w:val="44"/>
    </w:rPr>
  </w:style>
  <w:style w:type="character" w:customStyle="1" w:styleId="25">
    <w:name w:val="公文正文 Char"/>
    <w:link w:val="19"/>
    <w:qFormat/>
    <w:uiPriority w:val="0"/>
    <w:rPr>
      <w:rFonts w:ascii="仿宋_GB2312" w:hAnsi="仿宋_GB2312" w:eastAsia="仿宋_GB2312" w:cs="仿宋_GB2312"/>
      <w:sz w:val="32"/>
      <w:szCs w:val="32"/>
    </w:rPr>
  </w:style>
  <w:style w:type="character" w:customStyle="1" w:styleId="26">
    <w:name w:val="标准正文 Char"/>
    <w:link w:val="22"/>
    <w:qFormat/>
    <w:uiPriority w:val="0"/>
    <w:rPr>
      <w:rFonts w:ascii="仿宋_GB2312" w:hAnsi="仿宋_GB2312" w:eastAsia="仿宋_GB2312" w:cs="宋体"/>
      <w:sz w:val="32"/>
      <w:szCs w:val="32"/>
    </w:rPr>
  </w:style>
  <w:style w:type="paragraph" w:customStyle="1" w:styleId="27">
    <w:name w:val="落款"/>
    <w:basedOn w:val="1"/>
    <w:qFormat/>
    <w:uiPriority w:val="0"/>
    <w:pPr>
      <w:spacing w:line="560" w:lineRule="exact"/>
      <w:ind w:right="1280" w:rightChars="400"/>
      <w:jc w:val="right"/>
    </w:pPr>
    <w:rPr>
      <w:rFonts w:ascii="仿宋_GB2312" w:hAnsi="仿宋_GB2312" w:cs="仿宋_GB2312"/>
      <w:szCs w:val="32"/>
    </w:rPr>
  </w:style>
  <w:style w:type="paragraph" w:customStyle="1" w:styleId="28">
    <w:name w:val="文字落款"/>
    <w:basedOn w:val="1"/>
    <w:qFormat/>
    <w:uiPriority w:val="0"/>
    <w:pPr>
      <w:spacing w:line="560" w:lineRule="exact"/>
      <w:ind w:right="640" w:rightChars="200"/>
      <w:jc w:val="right"/>
    </w:pPr>
    <w:rPr>
      <w:rFonts w:ascii="仿宋_GB2312" w:hAnsi="仿宋_GB2312" w:eastAsia="仿宋_GB2312" w:cs="仿宋_GB2312"/>
      <w:sz w:val="32"/>
      <w:szCs w:val="32"/>
    </w:rPr>
  </w:style>
  <w:style w:type="paragraph" w:customStyle="1" w:styleId="29">
    <w:name w:val="日期落款"/>
    <w:basedOn w:val="1"/>
    <w:link w:val="31"/>
    <w:qFormat/>
    <w:uiPriority w:val="0"/>
    <w:pPr>
      <w:spacing w:line="560" w:lineRule="exact"/>
      <w:ind w:right="1280" w:rightChars="400"/>
      <w:jc w:val="right"/>
    </w:pPr>
    <w:rPr>
      <w:rFonts w:ascii="仿宋_GB2312" w:hAnsi="仿宋_GB2312" w:eastAsia="仿宋_GB2312" w:cs="仿宋_GB2312"/>
      <w:sz w:val="32"/>
      <w:szCs w:val="32"/>
    </w:rPr>
  </w:style>
  <w:style w:type="paragraph" w:customStyle="1" w:styleId="30">
    <w:name w:val="版结"/>
    <w:basedOn w:val="1"/>
    <w:qFormat/>
    <w:uiPriority w:val="0"/>
    <w:pPr>
      <w:tabs>
        <w:tab w:val="left" w:pos="408"/>
      </w:tabs>
      <w:spacing w:line="560" w:lineRule="exact"/>
      <w:ind w:firstLine="320" w:firstLineChars="100"/>
      <w:jc w:val="left"/>
    </w:pPr>
    <w:rPr>
      <w:rFonts w:hint="eastAsia" w:ascii="仿宋_GB2312" w:hAnsi="仿宋_GB2312" w:eastAsia="仿宋_GB2312" w:cs="仿宋_GB2312"/>
      <w:sz w:val="28"/>
      <w:szCs w:val="28"/>
    </w:rPr>
  </w:style>
  <w:style w:type="character" w:customStyle="1" w:styleId="31">
    <w:name w:val="日期落款 Char"/>
    <w:link w:val="29"/>
    <w:qFormat/>
    <w:uiPriority w:val="0"/>
    <w:rPr>
      <w:rFonts w:ascii="仿宋_GB2312" w:hAnsi="仿宋_GB2312" w:eastAsia="仿宋_GB2312" w:cs="仿宋_GB2312"/>
      <w:sz w:val="32"/>
      <w:szCs w:val="32"/>
    </w:rPr>
  </w:style>
  <w:style w:type="paragraph" w:customStyle="1" w:styleId="32">
    <w:name w:val="Heading2"/>
    <w:basedOn w:val="1"/>
    <w:next w:val="1"/>
    <w:qFormat/>
    <w:uiPriority w:val="0"/>
    <w:pPr>
      <w:keepNext/>
      <w:keepLines/>
      <w:spacing w:line="416" w:lineRule="auto"/>
    </w:pPr>
    <w:rPr>
      <w:rFonts w:ascii="Cambria" w:hAnsi="Cambria" w:eastAsia="宋体" w:cs="Times New Roman"/>
      <w:sz w:val="32"/>
      <w:szCs w:val="32"/>
    </w:rPr>
  </w:style>
  <w:style w:type="character" w:customStyle="1" w:styleId="33">
    <w:name w:val="标题 4 Char"/>
    <w:link w:val="9"/>
    <w:qFormat/>
    <w:uiPriority w:val="0"/>
    <w:rPr>
      <w:rFonts w:ascii="仿宋_GB2312" w:hAnsi="仿宋_GB2312" w:eastAsia="仿宋_GB2312" w:cs="黑体"/>
      <w:b/>
      <w:sz w:val="32"/>
      <w:szCs w:val="32"/>
    </w:rPr>
  </w:style>
  <w:style w:type="paragraph" w:customStyle="1" w:styleId="34">
    <w:name w:val="学习内容小字"/>
    <w:basedOn w:val="1"/>
    <w:qFormat/>
    <w:uiPriority w:val="0"/>
    <w:pPr>
      <w:spacing w:line="400" w:lineRule="exact"/>
      <w:ind w:firstLine="0" w:firstLineChars="0"/>
      <w:jc w:val="center"/>
    </w:pPr>
    <w:rPr>
      <w:rFonts w:hint="eastAsia" w:ascii="仿宋_GB2312" w:hAnsi="仿宋_GB2312" w:eastAsia="仿宋_GB2312" w:cs="仿宋_GB2312"/>
      <w:sz w:val="28"/>
      <w:szCs w:val="28"/>
    </w:rPr>
  </w:style>
  <w:style w:type="paragraph" w:customStyle="1" w:styleId="35">
    <w:name w:val="大标题"/>
    <w:basedOn w:val="1"/>
    <w:qFormat/>
    <w:uiPriority w:val="99"/>
    <w:pPr>
      <w:spacing w:line="560" w:lineRule="exact"/>
      <w:ind w:firstLine="0" w:firstLineChars="0"/>
      <w:jc w:val="center"/>
    </w:pPr>
    <w:rPr>
      <w:rFonts w:ascii="方正小标宋简体" w:hAnsi="方正小标宋简体" w:eastAsia="方正小标宋简体" w:cs="方正小标宋简体"/>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1657</Words>
  <Characters>1681</Characters>
  <Lines>0</Lines>
  <Paragraphs>0</Paragraphs>
  <TotalTime>6</TotalTime>
  <ScaleCrop>false</ScaleCrop>
  <LinksUpToDate>false</LinksUpToDate>
  <CharactersWithSpaces>1682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2025-01-02T02:50:00Z</dcterms:created>
  <dc:creator>霜见十四</dc:creator>
  <cp:lastModifiedBy>满怀可爱</cp:lastModifiedBy>
  <cp:lastPrinted>2025-01-21T04:27:00Z</cp:lastPrinted>
  <dcterms:modified xsi:type="dcterms:W3CDTF">2025-01-21T12:54:04Z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0B53B879EE354EE3829518C9B3C94217_13</vt:lpwstr>
  </property>
  <property fmtid="{D5CDD505-2E9C-101B-9397-08002B2CF9AE}" pid="4" name="KSOTemplateDocerSaveRecord">
    <vt:lpwstr>eyJoZGlkIjoiNDY0MWYzZWIyNGI3YWMxNjAxYWY1NWFhYjcwMWE5MWUifQ==</vt:lpwstr>
  </property>
</Properties>
</file>