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pacing w:line="240" w:lineRule="auto"/>
        <w:jc w:val="left"/>
        <w:textAlignment w:val="auto"/>
        <w:rPr>
          <w:rFonts w:hint="default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w:t>附件2</w:t>
      </w:r>
    </w:p>
    <w:p>
      <w:pPr>
        <w:wordWrap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词条解释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1.三大攻坚战：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即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防范化解重大风险、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instrText xml:space="preserve"> HYPERLINK "https://baike.baidu.com/item/%E7%B2%BE%E5%87%86%E8%84%B1%E8%B4%AB/18892524" \t "https://baike.baidu.com/item/%E4%B8%89%E5%A4%A7%E6%94%BB%E5%9D%9A%E6%88%98/_blank" </w:instrTex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15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精准脱贫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instrText xml:space="preserve"> HYPERLINK "https://baike.baidu.com/item/%E6%B1%A1%E6%9F%93%E9%98%B2%E6%B2%BB/6548722" \t "https://baike.baidu.com/item/%E4%B8%89%E5%A4%A7%E6%94%BB%E5%9D%9A%E6%88%98/_blank" </w:instrTex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15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污染防治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三大攻坚战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2.三大战略行动：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即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实施乡村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振兴、大数据、大生态</w:t>
      </w:r>
      <w:r>
        <w:rPr>
          <w:rStyle w:val="14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三大战略行动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3.“3+2”“3+N”: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en-US" w:bidi="ar-SA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>”是突出打造葡萄、吊瓜、刺梨三大主导产业；“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>”是重点发展猕猴桃、李子两项优势产业；“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N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>”是带动中药材、蔬菜、辣椒、柑橘等其他扶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en-US" w:bidi="ar-SA"/>
        </w:rPr>
        <w:t>贫产业适量发展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-SA"/>
        </w:rPr>
        <w:t>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4.三权分置：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宅基地的所有权、资格权、使用权三权分置。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5.三变改革：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资源变资产、资金变股金、农民变股东</w:t>
      </w: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6.六权共享: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以财政扶贫等项目资金入股企业作为村集体产业股权，产生收益后按照收益的20%用于村集体经济发展、村级公益事业和社会管理等支出，剩余80%按照“六权”模式（弱有所扶收益权、土地入股收益权、劳有所得收益权、老有所养收益权、社会治理收益权、环境保护收益权）进行二次分配，实现村集体、当地群众和园区企业三方共赢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7.一轴一环两核多点：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 w:bidi="ar-SA"/>
        </w:rPr>
        <w:t>“一轴”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贵遵公路、同城大道为轴，形成沿线工业布局；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 w:bidi="ar-SA"/>
        </w:rPr>
        <w:t>“一环”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沿环团圆山大道沿线布局产业；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 w:bidi="ar-SA"/>
        </w:rPr>
        <w:t>“两核”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小寨坝核心区、永靖产业核心区；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 w:bidi="ar-SA"/>
        </w:rPr>
        <w:t>“多点”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西山镇、养龙司镇、温泉镇、石硐镇、九庄镇、青山苗族乡、流长镇、鹿窝镇布局产业发展。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8.两学一做: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2016年2月，中共中央办公厅印发了《关于在全体党员中开展“学党章党规、学系列讲话，做合格党员”学习教育方案》，要求各地开展“两学一做”学习教育。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“两学”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学党章党规、学系列讲话，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“一做”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是做合格党员”。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9.不忘初心、牢记使命: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"https://baike.sogou.com/lemma/ShowInnerLink.htm?lemmaId=166099935&amp;ss_c=ssc.citiao.link" \t "https://baike.sogou.com/_blank"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十九大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，开展“不忘初心、牢记使命”主题教育，铭记“为中国人民谋幸福，为中华民族谋复兴”的“初心”和“使命”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10.丝绸之路经济带：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中国与西亚各国之间形成的经济合作区域,大致在古丝绸之路范围之上。包括西北的陕西、甘肃、青海、宁夏、新疆五省区,西南的重庆、四川、云南、广西四省市区。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11.虹吸效应：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中心区域城市在成长期主要靠积聚周边的生产要素发展，周边的城镇或者是中小城镇逐渐向中心城市聚集，带给区域中心各种优质资源，这会给区域中的中小城市的发展会带来一定的影响。</w:t>
      </w:r>
    </w:p>
    <w:p>
      <w:pPr>
        <w:pStyle w:val="8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12.“一二三四”总体思路：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省委十二届八次全会提出“十四五”时期贵州省经济社会发展“一二三四”的总体思路: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以高质量发展统揽全局，牢牢守好发展和生态两条底线，深入实施乡村振兴、大数据、大生态三大战略行动，大力推动新型工业化、新型城镇化、农业现代化、旅游产业化。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13.飞地经济：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两个相互独立、经济发展存在落差的行政地区打破原有行政区划限制，通过跨空间的行政管理和经济开发，实现两地资源互补、经济协调发展的一种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"https://baike.baidu.com/item/%E5%8C%BA%E5%9F%9F%E7%BB%8F%E6%B5%8E%E5%90%88%E4%BD%9C/1204318" \t "https://baike.baidu.com/item/%E9%A3%9E%E5%9C%B0%E7%BB%8F%E6%B5%8E/_blank"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区域经济合作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模式。</w:t>
      </w:r>
    </w:p>
    <w:p>
      <w:pPr>
        <w:pStyle w:val="8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14.一轴一环：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“一轴”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指的是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贵遵公路、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同城大道；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“一环”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指的是环团圆山大道。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15.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三体一圈、三街百铺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三体一圈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指万汇城、十字街、民俗文化体验地等3个商贸综合体合围形成县城商圈。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“三街百铺”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指的是阳朗“红色息烽”、高铁站“时光广场”、底寨“民俗文化”等3条商业步行街，引进培育品牌（特色）店铺及国内外连锁便利店铺（超市）100个以上，改造提升优质商铺300个以上。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16.经开五区：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将息烽经济开发区（工业园区）建成新型工业化发展的引领区、体制机制创新和开放型经济发展的先行区、良好营商环境的示范区、大众创业万众创新的集聚区、产城融合商贸繁荣的活跃区。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17.隐形冠军：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指企业各在市场领域占有着很高的市场份额。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18.四好农村路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习近平总书记于2014年提出，进一步把农村公路建好、管好、护好、运营好。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19.五级三类四体系：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分别为全国、省级、市级、县级和镇（乡）国土空间规划。全国国土空间规划是对全国国土空间做出的全局安排，是国土空间保护、开发、利用、修复的政策和总纲，侧重战略性；省级国土空间规划是对全国国土空间规划的落实，指导市县国土空间规划编制，侧重协调性；市县和乡镇国土空间规划是对上级规划要求的细化落实和具体安排，侧重实施性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：分别为总体规划、详细规划、相关专项规划。国土空间总体规划是详细规划的依据、相关专项规划的基础，相关专项规划要互相协同，与详细规划做好衔接。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四体系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：编制审批体系、实施监督体系、技术标准体系、法规政策体系。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20.两新一重：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新型基础设施建设，新型城镇化建设，交通、水利等重大工程建设。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21.农产品“七进”：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农产品进市场、进学校、进超市、进医院、进机关、进企业、进交通公路服务区。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22.农村三资：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指农村集体的资金、资产、资源。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23.四个不摘：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摘帽不摘责任、摘帽不摘政策、摘帽不摘帮扶、摘帽不摘监管。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24.三清一改：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清理农村生活垃圾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清理村内塘沟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清理畜禽养殖粪污等农业生产废弃物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改变影响农村人居环境的不良习惯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25.百场千店万铺：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贵阳市为加快推进新一轮高水平对外开放，抢抓消费升级重大机遇，以建设“优质百场引进提升行动、品牌千店聚集提升行动、便民万铺壮大提升行动”为抓手，着力打造“爽爽的贵阳·消费的天堂”消费品牌，构建消费新局面，进一步振兴商贸业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26.农村经纪人：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活跃在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</w:rPr>
        <w:instrText xml:space="preserve"> HYPERLINK "https://baike.so.com/doc/6745785-6960330.html" \t "https://baike.so.com/doc/_blank" </w:instrTex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</w:rPr>
        <w:t>农村经济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</w:rPr>
        <w:t>领域以收取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</w:rPr>
        <w:instrText xml:space="preserve"> HYPERLINK "https://baike.so.com/doc/2217267-2346183.html" \t "https://baike.so.com/doc/_blank" </w:instrTex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</w:rPr>
        <w:t>佣金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</w:rPr>
        <w:t>为目的，为促成他人交易而对涉农商品及项目进行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</w:rPr>
        <w:instrText xml:space="preserve"> HYPERLINK "https://baike.so.com/doc/5568297-5783458.html" \t "https://baike.so.com/doc/_blank" </w:instrTex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</w:rPr>
        <w:t>中介服务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</w:rPr>
        <w:t>的公民、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</w:rPr>
        <w:instrText xml:space="preserve"> HYPERLINK "https://baike.so.com/doc/186626-197124.html" \t "https://baike.so.com/doc/_blank" </w:instrTex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</w:rPr>
        <w:t>法人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</w:rPr>
        <w:t>和其它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</w:rPr>
        <w:instrText xml:space="preserve"> HYPERLINK "https://baike.so.com/doc/3015707-3180097.html" \t "https://baike.so.com/doc/_blank" </w:instrTex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</w:rPr>
        <w:t>经济组织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27.通村村：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是贵州高速集团下属单位贵州智通天下公司自主开发的“贵州省农村生活综合服务开放生态平台，是解决农村出行难、学生上学返家难、货运物流难的移动互联网应用平台。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/>
        </w:rPr>
        <w:t>28.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口袋公园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称袖珍公园，指规模很小的城市开放空间，常呈斑块状散落或隐藏在城市结构中，为当地居民服务。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29.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行政执法“三项制度”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行政执法的的公示制度，行政执法全过程的记录制度，还有重大执法决定的法制审核制度。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30.“七长”负责制: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即落实控辍保学县长、教育局长、乡（镇）长、村长、校长、家长、师长责任制。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31.六稳六保：</w:t>
      </w:r>
      <w:r>
        <w:rPr>
          <w:rFonts w:hint="eastAsia" w:ascii="仿宋_GB2312" w:hAnsi="仿宋_GB2312" w:eastAsia="仿宋_GB2312" w:cs="仿宋_GB2312"/>
          <w:sz w:val="32"/>
          <w:szCs w:val="32"/>
        </w:rPr>
        <w:t>稳就业、稳金融、稳外贸、稳外资、稳投资、稳预期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保居民就业、保基本民生、保市场主体、保粮食能源安全、保产业链供应链稳定、保基层运转。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Lines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32.七个坚决防止：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坚决防止发生影响社会稳定的重大政治事件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坚决防止发生暴力恐怖事件和个人极端事件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坚决防止发生大规模群体性事件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坚决防止发生重大到市进京上访事件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坚决防止发生重大恶性刑事治安案件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坚决防止发生重大公共安全事故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坚决防止发生重大舆情炒作事件。</w:t>
      </w:r>
    </w:p>
    <w:p>
      <w:pPr>
        <w:ind w:left="0" w:leftChars="0" w:firstLine="0" w:firstLineChars="0"/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33.三感社区：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建设让人民群众有更多获得感、幸福感、安全感社区。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517CA"/>
    <w:rsid w:val="024942D0"/>
    <w:rsid w:val="05F72DB8"/>
    <w:rsid w:val="07051CE2"/>
    <w:rsid w:val="1CB36B1C"/>
    <w:rsid w:val="1DF74725"/>
    <w:rsid w:val="39FD28CD"/>
    <w:rsid w:val="4B615AF9"/>
    <w:rsid w:val="584517CA"/>
    <w:rsid w:val="5BCC7A48"/>
    <w:rsid w:val="5E012BFF"/>
    <w:rsid w:val="78B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alloon Text"/>
    <w:basedOn w:val="1"/>
    <w:next w:val="1"/>
    <w:unhideWhenUsed/>
    <w:qFormat/>
    <w:uiPriority w:val="0"/>
    <w:rPr>
      <w:sz w:val="18"/>
      <w:szCs w:val="18"/>
    </w:rPr>
  </w:style>
  <w:style w:type="paragraph" w:styleId="8">
    <w:name w:val="footer"/>
    <w:basedOn w:val="1"/>
    <w:next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index 9"/>
    <w:basedOn w:val="1"/>
    <w:next w:val="1"/>
    <w:qFormat/>
    <w:uiPriority w:val="0"/>
    <w:pPr>
      <w:ind w:left="3360"/>
    </w:pPr>
    <w:rPr>
      <w:rFonts w:ascii="Calibri" w:hAnsi="Calibri" w:eastAsia="宋体"/>
    </w:rPr>
  </w:style>
  <w:style w:type="paragraph" w:styleId="10">
    <w:name w:val="Normal (Web)"/>
    <w:basedOn w:val="1"/>
    <w:next w:val="9"/>
    <w:qFormat/>
    <w:uiPriority w:val="99"/>
    <w:pPr>
      <w:spacing w:after="150" w:afterLines="0"/>
      <w:jc w:val="left"/>
    </w:pPr>
    <w:rPr>
      <w:rFonts w:ascii="Calibri" w:hAnsi="Calibri" w:eastAsia="宋体" w:cs="Times New Roman"/>
      <w:kern w:val="0"/>
      <w:sz w:val="24"/>
      <w:szCs w:val="20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563C1"/>
      <w:u w:val="singl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2021-08-06T08:00:00Z</dcterms:created>
  <dc:creator>Administrator</dc:creator>
  <cp:lastModifiedBy>Administrator</cp:lastModifiedBy>
  <cp:lastPrinted>2021-08-06T08:00:26Z</cp:lastPrinted>
  <dcterms:modified xsi:type="dcterms:W3CDTF">2021-08-06T08:00:52Z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B72F91D3697F4DCDAB48ADA00C5972B4</vt:lpwstr>
  </property>
</Properties>
</file>