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F878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附件1</w:t>
      </w:r>
    </w:p>
    <w:p w14:paraId="66530D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0620DA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息烽县国民经济和社会发展第十四个五年</w:t>
      </w:r>
    </w:p>
    <w:p w14:paraId="61D47E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规划和二O三五年远景目标纲要</w:t>
      </w:r>
    </w:p>
    <w:p w14:paraId="20E721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39FF36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1DBA80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62BA0A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77B77E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199E41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61407F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53B0EA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3AEC71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15FB84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58158D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5F3F09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bCs w:val="0"/>
          <w:szCs w:val="21"/>
        </w:rPr>
      </w:pPr>
    </w:p>
    <w:p w14:paraId="28C9CB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p w14:paraId="7CA7AC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sectPr>
          <w:headerReference r:id="rId3" w:type="default"/>
          <w:footerReference r:id="rId4" w:type="default"/>
          <w:pgSz w:w="11906" w:h="16838"/>
          <w:pgMar w:top="1440" w:right="1701" w:bottom="1440" w:left="1701" w:header="851" w:footer="992" w:gutter="0"/>
          <w:pgNumType w:fmt="decimal"/>
          <w:cols w:space="720" w:num="1"/>
          <w:docGrid w:type="lines" w:linePitch="312" w:charSpace="0"/>
        </w:sectPr>
      </w:pPr>
      <w:r>
        <w:rPr>
          <w:rFonts w:hint="eastAsia" w:ascii="仿宋_GB2312" w:hAnsi="仿宋_GB2312" w:eastAsia="仿宋_GB2312" w:cs="仿宋_GB2312"/>
          <w:b w:val="0"/>
          <w:bCs w:val="0"/>
          <w:sz w:val="32"/>
          <w:szCs w:val="32"/>
        </w:rPr>
        <w:t>2021年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月</w:t>
      </w:r>
    </w:p>
    <w:p w14:paraId="7613A454">
      <w:pPr>
        <w:pStyle w:val="14"/>
        <w:tabs>
          <w:tab w:val="right" w:leader="dot" w:pos="8306"/>
        </w:tabs>
        <w:jc w:val="center"/>
        <w:rPr>
          <w:rFonts w:ascii="黑体" w:hAnsi="黑体" w:eastAsia="黑体"/>
          <w:sz w:val="28"/>
          <w:szCs w:val="28"/>
        </w:rPr>
      </w:pPr>
      <w:r>
        <w:rPr>
          <w:rFonts w:hint="eastAsia" w:ascii="黑体" w:hAnsi="黑体" w:eastAsia="黑体"/>
          <w:sz w:val="28"/>
          <w:szCs w:val="28"/>
        </w:rPr>
        <w:t>目   录</w:t>
      </w:r>
    </w:p>
    <w:p w14:paraId="063D2AA6">
      <w:pPr>
        <w:pStyle w:val="12"/>
        <w:tabs>
          <w:tab w:val="right" w:leader="dot" w:pos="8306"/>
        </w:tabs>
        <w:ind w:firstLine="420" w:firstLineChars="200"/>
      </w:pPr>
      <w:r>
        <w:fldChar w:fldCharType="begin"/>
      </w:r>
      <w:r>
        <w:instrText xml:space="preserve">TOC \o "1-2" \h \u </w:instrText>
      </w:r>
      <w:r>
        <w:fldChar w:fldCharType="separate"/>
      </w:r>
      <w:r>
        <w:fldChar w:fldCharType="begin"/>
      </w:r>
      <w:r>
        <w:instrText xml:space="preserve"> HYPERLINK \l _Toc22579 </w:instrText>
      </w:r>
      <w:r>
        <w:fldChar w:fldCharType="separate"/>
      </w:r>
      <w:r>
        <w:rPr>
          <w:rFonts w:hint="eastAsia" w:ascii="方正小标宋简体" w:hAnsi="方正小标宋简体" w:eastAsia="方正小标宋简体" w:cs="方正小标宋简体"/>
          <w:szCs w:val="36"/>
        </w:rPr>
        <w:t>第一章</w:t>
      </w:r>
      <w:r>
        <w:rPr>
          <w:rFonts w:ascii="方正小标宋简体" w:hAnsi="方正小标宋简体" w:eastAsia="方正小标宋简体" w:cs="方正小标宋简体"/>
          <w:szCs w:val="36"/>
        </w:rPr>
        <w:t xml:space="preserve">  </w:t>
      </w:r>
      <w:r>
        <w:rPr>
          <w:rFonts w:hint="eastAsia" w:ascii="方正小标宋简体" w:hAnsi="方正小标宋简体" w:eastAsia="方正小标宋简体" w:cs="方正小标宋简体"/>
          <w:szCs w:val="36"/>
          <w:lang w:eastAsia="zh-CN"/>
        </w:rPr>
        <w:t>开启全面建设社会主义现代化国家新征程</w:t>
      </w:r>
      <w:r>
        <w:tab/>
      </w:r>
      <w:r>
        <w:fldChar w:fldCharType="begin"/>
      </w:r>
      <w:r>
        <w:instrText xml:space="preserve"> PAGEREF _Toc22579 </w:instrText>
      </w:r>
      <w:r>
        <w:fldChar w:fldCharType="separate"/>
      </w:r>
      <w:r>
        <w:t>13</w:t>
      </w:r>
      <w:r>
        <w:fldChar w:fldCharType="end"/>
      </w:r>
      <w:r>
        <w:fldChar w:fldCharType="end"/>
      </w:r>
    </w:p>
    <w:p w14:paraId="18012340">
      <w:pPr>
        <w:pStyle w:val="14"/>
        <w:tabs>
          <w:tab w:val="right" w:leader="dot" w:pos="8306"/>
        </w:tabs>
      </w:pPr>
      <w:r>
        <w:fldChar w:fldCharType="begin"/>
      </w:r>
      <w:r>
        <w:instrText xml:space="preserve"> HYPERLINK \l _Toc20582 </w:instrText>
      </w:r>
      <w:r>
        <w:fldChar w:fldCharType="separate"/>
      </w:r>
      <w:r>
        <w:rPr>
          <w:rFonts w:hint="eastAsia" w:ascii="方正小标宋简体" w:hAnsi="方正小标宋简体" w:eastAsia="方正小标宋简体" w:cs="方正小标宋简体"/>
          <w:bCs/>
          <w:szCs w:val="32"/>
        </w:rPr>
        <w:t>第一节  全面建成小康社会</w:t>
      </w:r>
      <w:r>
        <w:tab/>
      </w:r>
      <w:r>
        <w:fldChar w:fldCharType="begin"/>
      </w:r>
      <w:r>
        <w:instrText xml:space="preserve"> PAGEREF _Toc20582 </w:instrText>
      </w:r>
      <w:r>
        <w:fldChar w:fldCharType="separate"/>
      </w:r>
      <w:r>
        <w:t>13</w:t>
      </w:r>
      <w:r>
        <w:fldChar w:fldCharType="end"/>
      </w:r>
      <w:r>
        <w:fldChar w:fldCharType="end"/>
      </w:r>
    </w:p>
    <w:p w14:paraId="521C8936">
      <w:pPr>
        <w:pStyle w:val="14"/>
        <w:tabs>
          <w:tab w:val="right" w:leader="dot" w:pos="8306"/>
        </w:tabs>
      </w:pPr>
      <w:r>
        <w:fldChar w:fldCharType="begin"/>
      </w:r>
      <w:r>
        <w:instrText xml:space="preserve"> HYPERLINK \l _Toc25514 </w:instrText>
      </w:r>
      <w:r>
        <w:fldChar w:fldCharType="separate"/>
      </w:r>
      <w:r>
        <w:rPr>
          <w:rFonts w:hint="eastAsia" w:ascii="方正小标宋简体" w:hAnsi="方正小标宋简体" w:eastAsia="方正小标宋简体" w:cs="方正小标宋简体"/>
        </w:rPr>
        <w:t>第二节</w:t>
      </w:r>
      <w:r>
        <w:rPr>
          <w:rFonts w:ascii="方正小标宋简体" w:hAnsi="方正小标宋简体" w:eastAsia="方正小标宋简体" w:cs="方正小标宋简体"/>
        </w:rPr>
        <w:t xml:space="preserve">  </w:t>
      </w:r>
      <w:r>
        <w:rPr>
          <w:rFonts w:hint="eastAsia" w:ascii="方正小标宋简体" w:hAnsi="方正小标宋简体" w:eastAsia="方正小标宋简体" w:cs="方正小标宋简体"/>
        </w:rPr>
        <w:t>发展环境</w:t>
      </w:r>
      <w:r>
        <w:tab/>
      </w:r>
      <w:r>
        <w:fldChar w:fldCharType="begin"/>
      </w:r>
      <w:r>
        <w:instrText xml:space="preserve"> PAGEREF _Toc25514 </w:instrText>
      </w:r>
      <w:r>
        <w:fldChar w:fldCharType="separate"/>
      </w:r>
      <w:r>
        <w:t>19</w:t>
      </w:r>
      <w:r>
        <w:fldChar w:fldCharType="end"/>
      </w:r>
      <w:r>
        <w:fldChar w:fldCharType="end"/>
      </w:r>
    </w:p>
    <w:p w14:paraId="61685A4C">
      <w:pPr>
        <w:pStyle w:val="14"/>
        <w:tabs>
          <w:tab w:val="right" w:leader="dot" w:pos="8306"/>
        </w:tabs>
      </w:pPr>
      <w:r>
        <w:fldChar w:fldCharType="begin"/>
      </w:r>
      <w:r>
        <w:instrText xml:space="preserve"> HYPERLINK \l _Toc23863 </w:instrText>
      </w:r>
      <w:r>
        <w:fldChar w:fldCharType="separate"/>
      </w:r>
      <w:r>
        <w:rPr>
          <w:rFonts w:hint="eastAsia" w:ascii="方正小标宋简体" w:hAnsi="方正小标宋简体" w:eastAsia="方正小标宋简体" w:cs="方正小标宋简体"/>
          <w:bCs/>
          <w:kern w:val="2"/>
          <w:szCs w:val="32"/>
          <w:lang w:val="en-US" w:eastAsia="zh-CN" w:bidi="ar-SA"/>
        </w:rPr>
        <w:t>第三节  展望二〇三五年远景目标</w:t>
      </w:r>
      <w:r>
        <w:tab/>
      </w:r>
      <w:r>
        <w:fldChar w:fldCharType="begin"/>
      </w:r>
      <w:r>
        <w:instrText xml:space="preserve"> PAGEREF _Toc23863 </w:instrText>
      </w:r>
      <w:r>
        <w:fldChar w:fldCharType="separate"/>
      </w:r>
      <w:r>
        <w:t>21</w:t>
      </w:r>
      <w:r>
        <w:fldChar w:fldCharType="end"/>
      </w:r>
      <w:r>
        <w:fldChar w:fldCharType="end"/>
      </w:r>
    </w:p>
    <w:p w14:paraId="25D49C8E">
      <w:pPr>
        <w:pStyle w:val="14"/>
        <w:tabs>
          <w:tab w:val="right" w:leader="dot" w:pos="8306"/>
        </w:tabs>
      </w:pPr>
      <w:r>
        <w:fldChar w:fldCharType="begin"/>
      </w:r>
      <w:r>
        <w:instrText xml:space="preserve"> HYPERLINK \l _Toc8629 </w:instrText>
      </w:r>
      <w:r>
        <w:fldChar w:fldCharType="separate"/>
      </w:r>
      <w:r>
        <w:rPr>
          <w:rFonts w:hint="eastAsia" w:ascii="方正小标宋简体" w:hAnsi="方正小标宋简体" w:eastAsia="方正小标宋简体" w:cs="方正小标宋简体"/>
          <w:bCs/>
          <w:szCs w:val="32"/>
        </w:rPr>
        <w:t xml:space="preserve">第四节 </w:t>
      </w:r>
      <w:r>
        <w:rPr>
          <w:rFonts w:ascii="方正小标宋简体" w:hAnsi="方正小标宋简体" w:eastAsia="方正小标宋简体" w:cs="方正小标宋简体"/>
          <w:bCs/>
          <w:szCs w:val="32"/>
        </w:rPr>
        <w:t xml:space="preserve"> </w:t>
      </w:r>
      <w:r>
        <w:rPr>
          <w:rFonts w:hint="eastAsia" w:ascii="方正小标宋简体" w:hAnsi="方正小标宋简体" w:eastAsia="方正小标宋简体" w:cs="方正小标宋简体"/>
          <w:bCs/>
          <w:szCs w:val="32"/>
        </w:rPr>
        <w:t>“十四五”时期总体要求和奋斗目标</w:t>
      </w:r>
      <w:r>
        <w:tab/>
      </w:r>
      <w:r>
        <w:fldChar w:fldCharType="begin"/>
      </w:r>
      <w:r>
        <w:instrText xml:space="preserve"> PAGEREF _Toc8629 </w:instrText>
      </w:r>
      <w:r>
        <w:fldChar w:fldCharType="separate"/>
      </w:r>
      <w:r>
        <w:t>22</w:t>
      </w:r>
      <w:r>
        <w:fldChar w:fldCharType="end"/>
      </w:r>
      <w:r>
        <w:fldChar w:fldCharType="end"/>
      </w:r>
    </w:p>
    <w:p w14:paraId="39332C49">
      <w:pPr>
        <w:pStyle w:val="12"/>
        <w:tabs>
          <w:tab w:val="right" w:leader="dot" w:pos="8306"/>
        </w:tabs>
        <w:ind w:firstLine="420" w:firstLineChars="200"/>
      </w:pPr>
      <w:r>
        <w:fldChar w:fldCharType="begin"/>
      </w:r>
      <w:r>
        <w:instrText xml:space="preserve"> HYPERLINK \l _Toc7996 </w:instrText>
      </w:r>
      <w:r>
        <w:fldChar w:fldCharType="separate"/>
      </w:r>
      <w:r>
        <w:rPr>
          <w:rFonts w:ascii="方正小标宋简体" w:hAnsi="方正小标宋简体" w:eastAsia="方正小标宋简体" w:cs="方正小标宋简体"/>
          <w:bCs/>
          <w:szCs w:val="36"/>
        </w:rPr>
        <w:t xml:space="preserve">第二章 </w:t>
      </w:r>
      <w:r>
        <w:rPr>
          <w:rFonts w:hint="eastAsia" w:ascii="方正小标宋简体" w:hAnsi="方正小标宋简体" w:eastAsia="方正小标宋简体" w:cs="方正小标宋简体"/>
          <w:bCs/>
          <w:szCs w:val="36"/>
          <w:lang w:val="en-US" w:eastAsia="zh-CN"/>
        </w:rPr>
        <w:t xml:space="preserve"> </w:t>
      </w:r>
      <w:r>
        <w:rPr>
          <w:rFonts w:hint="eastAsia" w:ascii="方正小标宋简体" w:hAnsi="方正小标宋简体" w:eastAsia="方正小标宋简体" w:cs="方正小标宋简体"/>
          <w:bCs/>
          <w:szCs w:val="36"/>
        </w:rPr>
        <w:t>加快全面开放步伐</w:t>
      </w:r>
      <w:r>
        <w:rPr>
          <w:rFonts w:hint="eastAsia" w:ascii="方正小标宋简体" w:hAnsi="方正小标宋简体" w:eastAsia="方正小标宋简体" w:cs="方正小标宋简体"/>
          <w:bCs/>
          <w:szCs w:val="36"/>
          <w:lang w:val="en-US" w:eastAsia="zh-CN"/>
        </w:rPr>
        <w:t xml:space="preserve">  高质量</w:t>
      </w:r>
      <w:r>
        <w:rPr>
          <w:rFonts w:hint="eastAsia" w:ascii="方正小标宋简体" w:hAnsi="方正小标宋简体" w:eastAsia="方正小标宋简体" w:cs="方正小标宋简体"/>
          <w:bCs/>
          <w:szCs w:val="36"/>
        </w:rPr>
        <w:t>融入经济体量大能级城市</w:t>
      </w:r>
      <w:r>
        <w:tab/>
      </w:r>
      <w:r>
        <w:fldChar w:fldCharType="begin"/>
      </w:r>
      <w:r>
        <w:instrText xml:space="preserve"> PAGEREF _Toc7996 </w:instrText>
      </w:r>
      <w:r>
        <w:fldChar w:fldCharType="separate"/>
      </w:r>
      <w:r>
        <w:t>27</w:t>
      </w:r>
      <w:r>
        <w:fldChar w:fldCharType="end"/>
      </w:r>
      <w:r>
        <w:fldChar w:fldCharType="end"/>
      </w:r>
    </w:p>
    <w:p w14:paraId="617CAB67">
      <w:pPr>
        <w:pStyle w:val="14"/>
        <w:tabs>
          <w:tab w:val="right" w:leader="dot" w:pos="8306"/>
        </w:tabs>
      </w:pPr>
      <w:r>
        <w:fldChar w:fldCharType="begin"/>
      </w:r>
      <w:r>
        <w:instrText xml:space="preserve"> HYPERLINK \l _Toc27218 </w:instrText>
      </w:r>
      <w:r>
        <w:fldChar w:fldCharType="separate"/>
      </w:r>
      <w:r>
        <w:rPr>
          <w:rFonts w:hint="eastAsia" w:ascii="方正小标宋简体" w:hAnsi="方正小标宋简体" w:eastAsia="方正小标宋简体" w:cs="方正小标宋简体"/>
          <w:bCs/>
          <w:szCs w:val="32"/>
        </w:rPr>
        <w:t>第一节  找准主动参与融合发展切入点</w:t>
      </w:r>
      <w:r>
        <w:tab/>
      </w:r>
      <w:r>
        <w:fldChar w:fldCharType="begin"/>
      </w:r>
      <w:r>
        <w:instrText xml:space="preserve"> PAGEREF _Toc27218 </w:instrText>
      </w:r>
      <w:r>
        <w:fldChar w:fldCharType="separate"/>
      </w:r>
      <w:r>
        <w:t>27</w:t>
      </w:r>
      <w:r>
        <w:fldChar w:fldCharType="end"/>
      </w:r>
      <w:r>
        <w:fldChar w:fldCharType="end"/>
      </w:r>
    </w:p>
    <w:p w14:paraId="115FC94A">
      <w:pPr>
        <w:pStyle w:val="14"/>
        <w:tabs>
          <w:tab w:val="right" w:leader="dot" w:pos="8306"/>
        </w:tabs>
      </w:pPr>
      <w:r>
        <w:fldChar w:fldCharType="begin"/>
      </w:r>
      <w:r>
        <w:instrText xml:space="preserve"> HYPERLINK \l _Toc4092 </w:instrText>
      </w:r>
      <w:r>
        <w:fldChar w:fldCharType="separate"/>
      </w:r>
      <w:r>
        <w:rPr>
          <w:rFonts w:hint="eastAsia" w:ascii="方正小标宋简体" w:hAnsi="方正小标宋简体" w:eastAsia="方正小标宋简体" w:cs="方正小标宋简体"/>
          <w:bCs/>
          <w:szCs w:val="32"/>
        </w:rPr>
        <w:t>第二节  全力提升对外开放承载力</w:t>
      </w:r>
      <w:r>
        <w:tab/>
      </w:r>
      <w:r>
        <w:fldChar w:fldCharType="begin"/>
      </w:r>
      <w:r>
        <w:instrText xml:space="preserve"> PAGEREF _Toc4092 </w:instrText>
      </w:r>
      <w:r>
        <w:fldChar w:fldCharType="separate"/>
      </w:r>
      <w:r>
        <w:t>28</w:t>
      </w:r>
      <w:r>
        <w:fldChar w:fldCharType="end"/>
      </w:r>
      <w:r>
        <w:fldChar w:fldCharType="end"/>
      </w:r>
    </w:p>
    <w:p w14:paraId="5DA4ABFA">
      <w:pPr>
        <w:pStyle w:val="14"/>
        <w:tabs>
          <w:tab w:val="right" w:leader="dot" w:pos="8306"/>
        </w:tabs>
      </w:pPr>
      <w:r>
        <w:fldChar w:fldCharType="begin"/>
      </w:r>
      <w:r>
        <w:instrText xml:space="preserve"> HYPERLINK \l _Toc21609 </w:instrText>
      </w:r>
      <w:r>
        <w:fldChar w:fldCharType="separate"/>
      </w:r>
      <w:r>
        <w:rPr>
          <w:rFonts w:hint="eastAsia" w:ascii="方正小标宋简体" w:hAnsi="方正小标宋简体" w:eastAsia="方正小标宋简体" w:cs="方正小标宋简体"/>
          <w:bCs/>
          <w:szCs w:val="32"/>
        </w:rPr>
        <w:t>第三节  培育市场主体</w:t>
      </w:r>
      <w:r>
        <w:tab/>
      </w:r>
      <w:r>
        <w:fldChar w:fldCharType="begin"/>
      </w:r>
      <w:r>
        <w:instrText xml:space="preserve"> PAGEREF _Toc21609 </w:instrText>
      </w:r>
      <w:r>
        <w:fldChar w:fldCharType="separate"/>
      </w:r>
      <w:r>
        <w:t>30</w:t>
      </w:r>
      <w:r>
        <w:fldChar w:fldCharType="end"/>
      </w:r>
      <w:r>
        <w:fldChar w:fldCharType="end"/>
      </w:r>
    </w:p>
    <w:p w14:paraId="1630AB3C">
      <w:pPr>
        <w:pStyle w:val="14"/>
        <w:tabs>
          <w:tab w:val="right" w:leader="dot" w:pos="8306"/>
        </w:tabs>
      </w:pPr>
      <w:r>
        <w:fldChar w:fldCharType="begin"/>
      </w:r>
      <w:r>
        <w:instrText xml:space="preserve"> HYPERLINK \l _Toc18518 </w:instrText>
      </w:r>
      <w:r>
        <w:fldChar w:fldCharType="separate"/>
      </w:r>
      <w:r>
        <w:rPr>
          <w:rFonts w:hint="eastAsia" w:ascii="方正小标宋简体" w:hAnsi="方正小标宋简体" w:eastAsia="方正小标宋简体" w:cs="方正小标宋简体"/>
          <w:bCs/>
          <w:szCs w:val="32"/>
        </w:rPr>
        <w:t>第四节  大力招商引资引业</w:t>
      </w:r>
      <w:r>
        <w:tab/>
      </w:r>
      <w:r>
        <w:fldChar w:fldCharType="begin"/>
      </w:r>
      <w:r>
        <w:instrText xml:space="preserve"> PAGEREF _Toc18518 </w:instrText>
      </w:r>
      <w:r>
        <w:fldChar w:fldCharType="separate"/>
      </w:r>
      <w:r>
        <w:t>31</w:t>
      </w:r>
      <w:r>
        <w:fldChar w:fldCharType="end"/>
      </w:r>
      <w:r>
        <w:fldChar w:fldCharType="end"/>
      </w:r>
    </w:p>
    <w:p w14:paraId="63F3FD50">
      <w:pPr>
        <w:pStyle w:val="12"/>
        <w:tabs>
          <w:tab w:val="right" w:leader="dot" w:pos="8306"/>
        </w:tabs>
        <w:ind w:firstLine="420" w:firstLineChars="200"/>
      </w:pPr>
      <w:r>
        <w:fldChar w:fldCharType="begin"/>
      </w:r>
      <w:r>
        <w:instrText xml:space="preserve"> HYPERLINK \l _Toc17572 </w:instrText>
      </w:r>
      <w:r>
        <w:fldChar w:fldCharType="separate"/>
      </w:r>
      <w:r>
        <w:rPr>
          <w:rFonts w:hint="eastAsia" w:ascii="方正小标宋简体" w:hAnsi="方正小标宋简体" w:eastAsia="方正小标宋简体" w:cs="方正小标宋简体"/>
          <w:szCs w:val="36"/>
        </w:rPr>
        <w:t>第三章</w:t>
      </w:r>
      <w:r>
        <w:rPr>
          <w:rFonts w:ascii="方正小标宋简体" w:hAnsi="方正小标宋简体" w:eastAsia="方正小标宋简体" w:cs="方正小标宋简体"/>
          <w:szCs w:val="36"/>
        </w:rPr>
        <w:t xml:space="preserve">  </w:t>
      </w:r>
      <w:r>
        <w:rPr>
          <w:rFonts w:hint="eastAsia" w:ascii="方正小标宋简体" w:hAnsi="方正小标宋简体" w:eastAsia="方正小标宋简体" w:cs="方正小标宋简体"/>
          <w:szCs w:val="36"/>
        </w:rPr>
        <w:t>加</w:t>
      </w:r>
      <w:r>
        <w:rPr>
          <w:rFonts w:hint="eastAsia" w:ascii="方正小标宋简体" w:hAnsi="方正小标宋简体" w:eastAsia="方正小标宋简体" w:cs="方正小标宋简体"/>
          <w:szCs w:val="36"/>
          <w:lang w:val="en-US" w:eastAsia="zh-CN"/>
        </w:rPr>
        <w:t>强</w:t>
      </w:r>
      <w:r>
        <w:rPr>
          <w:rFonts w:hint="eastAsia" w:ascii="方正小标宋简体" w:hAnsi="方正小标宋简体" w:eastAsia="方正小标宋简体" w:cs="方正小标宋简体"/>
          <w:szCs w:val="36"/>
        </w:rPr>
        <w:t xml:space="preserve">顶层设计 </w:t>
      </w:r>
      <w:r>
        <w:rPr>
          <w:rFonts w:hint="eastAsia" w:ascii="方正小标宋简体" w:hAnsi="方正小标宋简体" w:eastAsia="方正小标宋简体" w:cs="方正小标宋简体"/>
          <w:szCs w:val="36"/>
          <w:lang w:val="en-US" w:eastAsia="zh-CN"/>
        </w:rPr>
        <w:t xml:space="preserve"> 高质量</w:t>
      </w:r>
      <w:r>
        <w:rPr>
          <w:rFonts w:hint="eastAsia" w:ascii="方正小标宋简体" w:hAnsi="方正小标宋简体" w:eastAsia="方正小标宋简体" w:cs="方正小标宋简体"/>
          <w:szCs w:val="36"/>
        </w:rPr>
        <w:t>构建国土空间开发保护新格局</w:t>
      </w:r>
      <w:r>
        <w:tab/>
      </w:r>
      <w:r>
        <w:fldChar w:fldCharType="begin"/>
      </w:r>
      <w:r>
        <w:instrText xml:space="preserve"> PAGEREF _Toc17572 </w:instrText>
      </w:r>
      <w:r>
        <w:fldChar w:fldCharType="separate"/>
      </w:r>
      <w:r>
        <w:t>33</w:t>
      </w:r>
      <w:r>
        <w:fldChar w:fldCharType="end"/>
      </w:r>
      <w:r>
        <w:fldChar w:fldCharType="end"/>
      </w:r>
    </w:p>
    <w:p w14:paraId="13E31B53">
      <w:pPr>
        <w:pStyle w:val="14"/>
        <w:tabs>
          <w:tab w:val="right" w:leader="dot" w:pos="8306"/>
        </w:tabs>
      </w:pPr>
      <w:r>
        <w:fldChar w:fldCharType="begin"/>
      </w:r>
      <w:r>
        <w:instrText xml:space="preserve"> HYPERLINK \l _Toc13416 </w:instrText>
      </w:r>
      <w:r>
        <w:fldChar w:fldCharType="separate"/>
      </w:r>
      <w:r>
        <w:rPr>
          <w:rFonts w:hint="eastAsia" w:ascii="方正小标宋简体" w:hAnsi="方正小标宋简体" w:eastAsia="方正小标宋简体" w:cs="方正小标宋简体"/>
          <w:bCs/>
          <w:szCs w:val="32"/>
        </w:rPr>
        <w:t xml:space="preserve">第一节 </w:t>
      </w:r>
      <w:r>
        <w:rPr>
          <w:rFonts w:hint="eastAsia" w:ascii="方正小标宋简体" w:hAnsi="方正小标宋简体" w:eastAsia="方正小标宋简体" w:cs="方正小标宋简体"/>
          <w:bCs/>
          <w:szCs w:val="32"/>
          <w:lang w:val="en-US" w:eastAsia="zh-CN"/>
        </w:rPr>
        <w:t xml:space="preserve"> </w:t>
      </w:r>
      <w:r>
        <w:rPr>
          <w:rFonts w:hint="eastAsia" w:ascii="方正小标宋简体" w:hAnsi="方正小标宋简体" w:eastAsia="方正小标宋简体" w:cs="方正小标宋简体"/>
          <w:bCs/>
          <w:szCs w:val="32"/>
        </w:rPr>
        <w:t>统筹县域空间总体布局</w:t>
      </w:r>
      <w:r>
        <w:tab/>
      </w:r>
      <w:r>
        <w:fldChar w:fldCharType="begin"/>
      </w:r>
      <w:r>
        <w:instrText xml:space="preserve"> PAGEREF _Toc13416 </w:instrText>
      </w:r>
      <w:r>
        <w:fldChar w:fldCharType="separate"/>
      </w:r>
      <w:r>
        <w:t>33</w:t>
      </w:r>
      <w:r>
        <w:fldChar w:fldCharType="end"/>
      </w:r>
      <w:r>
        <w:fldChar w:fldCharType="end"/>
      </w:r>
    </w:p>
    <w:p w14:paraId="20C41861">
      <w:pPr>
        <w:pStyle w:val="14"/>
        <w:tabs>
          <w:tab w:val="right" w:leader="dot" w:pos="8306"/>
        </w:tabs>
      </w:pPr>
      <w:r>
        <w:fldChar w:fldCharType="begin"/>
      </w:r>
      <w:r>
        <w:instrText xml:space="preserve"> HYPERLINK \l _Toc12357 </w:instrText>
      </w:r>
      <w:r>
        <w:fldChar w:fldCharType="separate"/>
      </w:r>
      <w:r>
        <w:rPr>
          <w:rFonts w:hint="eastAsia" w:ascii="方正小标宋简体" w:hAnsi="方正小标宋简体" w:eastAsia="方正小标宋简体" w:cs="方正小标宋简体"/>
          <w:bCs/>
          <w:szCs w:val="32"/>
        </w:rPr>
        <w:t>第二节  构建生态安全空间</w:t>
      </w:r>
      <w:r>
        <w:tab/>
      </w:r>
      <w:r>
        <w:fldChar w:fldCharType="begin"/>
      </w:r>
      <w:r>
        <w:instrText xml:space="preserve"> PAGEREF _Toc12357 </w:instrText>
      </w:r>
      <w:r>
        <w:fldChar w:fldCharType="separate"/>
      </w:r>
      <w:r>
        <w:t>34</w:t>
      </w:r>
      <w:r>
        <w:fldChar w:fldCharType="end"/>
      </w:r>
      <w:r>
        <w:fldChar w:fldCharType="end"/>
      </w:r>
    </w:p>
    <w:p w14:paraId="2307E95A">
      <w:pPr>
        <w:pStyle w:val="14"/>
        <w:tabs>
          <w:tab w:val="right" w:leader="dot" w:pos="8306"/>
        </w:tabs>
      </w:pPr>
      <w:r>
        <w:fldChar w:fldCharType="begin"/>
      </w:r>
      <w:r>
        <w:instrText xml:space="preserve"> HYPERLINK \l _Toc12193 </w:instrText>
      </w:r>
      <w:r>
        <w:fldChar w:fldCharType="separate"/>
      </w:r>
      <w:r>
        <w:rPr>
          <w:rFonts w:hint="eastAsia" w:ascii="方正小标宋简体" w:hAnsi="方正小标宋简体" w:eastAsia="方正小标宋简体" w:cs="方正小标宋简体"/>
          <w:kern w:val="0"/>
        </w:rPr>
        <w:t>第三节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提升农业发展空间</w:t>
      </w:r>
      <w:r>
        <w:tab/>
      </w:r>
      <w:r>
        <w:fldChar w:fldCharType="begin"/>
      </w:r>
      <w:r>
        <w:instrText xml:space="preserve"> PAGEREF _Toc12193 </w:instrText>
      </w:r>
      <w:r>
        <w:fldChar w:fldCharType="separate"/>
      </w:r>
      <w:r>
        <w:t>34</w:t>
      </w:r>
      <w:r>
        <w:fldChar w:fldCharType="end"/>
      </w:r>
      <w:r>
        <w:fldChar w:fldCharType="end"/>
      </w:r>
    </w:p>
    <w:p w14:paraId="0A13B304">
      <w:pPr>
        <w:pStyle w:val="14"/>
        <w:tabs>
          <w:tab w:val="right" w:leader="dot" w:pos="8306"/>
        </w:tabs>
      </w:pPr>
      <w:r>
        <w:fldChar w:fldCharType="begin"/>
      </w:r>
      <w:r>
        <w:instrText xml:space="preserve"> HYPERLINK \l _Toc7018 </w:instrText>
      </w:r>
      <w:r>
        <w:fldChar w:fldCharType="separate"/>
      </w:r>
      <w:r>
        <w:rPr>
          <w:rFonts w:hint="eastAsia" w:ascii="方正小标宋简体" w:hAnsi="方正小标宋简体" w:eastAsia="方正小标宋简体" w:cs="方正小标宋简体"/>
          <w:kern w:val="0"/>
        </w:rPr>
        <w:t>第四节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优化城镇发展空间</w:t>
      </w:r>
      <w:r>
        <w:tab/>
      </w:r>
      <w:r>
        <w:fldChar w:fldCharType="begin"/>
      </w:r>
      <w:r>
        <w:instrText xml:space="preserve"> PAGEREF _Toc7018 </w:instrText>
      </w:r>
      <w:r>
        <w:fldChar w:fldCharType="separate"/>
      </w:r>
      <w:r>
        <w:t>35</w:t>
      </w:r>
      <w:r>
        <w:fldChar w:fldCharType="end"/>
      </w:r>
      <w:r>
        <w:fldChar w:fldCharType="end"/>
      </w:r>
    </w:p>
    <w:p w14:paraId="6E6676B0">
      <w:pPr>
        <w:pStyle w:val="12"/>
        <w:tabs>
          <w:tab w:val="right" w:leader="dot" w:pos="8306"/>
        </w:tabs>
        <w:ind w:firstLine="420" w:firstLineChars="200"/>
      </w:pPr>
      <w:r>
        <w:fldChar w:fldCharType="begin"/>
      </w:r>
      <w:r>
        <w:instrText xml:space="preserve"> HYPERLINK \l _Toc4710 </w:instrText>
      </w:r>
      <w:r>
        <w:fldChar w:fldCharType="separate"/>
      </w:r>
      <w:r>
        <w:rPr>
          <w:rFonts w:hint="eastAsia" w:ascii="方正小标宋简体" w:hAnsi="方正小标宋简体" w:eastAsia="方正小标宋简体" w:cs="方正小标宋简体"/>
          <w:szCs w:val="36"/>
        </w:rPr>
        <w:t>第四章  加快城乡一体化</w:t>
      </w:r>
      <w:r>
        <w:rPr>
          <w:rFonts w:hint="eastAsia" w:ascii="方正小标宋简体" w:hAnsi="方正小标宋简体" w:eastAsia="方正小标宋简体" w:cs="方正小标宋简体"/>
          <w:szCs w:val="36"/>
          <w:lang w:val="en-US" w:eastAsia="zh-CN"/>
        </w:rPr>
        <w:t xml:space="preserve"> 高质量</w:t>
      </w:r>
      <w:r>
        <w:rPr>
          <w:rFonts w:hint="eastAsia" w:ascii="方正小标宋简体" w:hAnsi="方正小标宋简体" w:eastAsia="方正小标宋简体" w:cs="方正小标宋简体"/>
          <w:szCs w:val="36"/>
        </w:rPr>
        <w:t>深入实施新型城镇化战略</w:t>
      </w:r>
      <w:r>
        <w:tab/>
      </w:r>
      <w:r>
        <w:fldChar w:fldCharType="begin"/>
      </w:r>
      <w:r>
        <w:instrText xml:space="preserve"> PAGEREF _Toc4710 </w:instrText>
      </w:r>
      <w:r>
        <w:fldChar w:fldCharType="separate"/>
      </w:r>
      <w:r>
        <w:t>37</w:t>
      </w:r>
      <w:r>
        <w:fldChar w:fldCharType="end"/>
      </w:r>
      <w:r>
        <w:fldChar w:fldCharType="end"/>
      </w:r>
    </w:p>
    <w:p w14:paraId="2381D280">
      <w:pPr>
        <w:pStyle w:val="14"/>
        <w:tabs>
          <w:tab w:val="right" w:leader="dot" w:pos="8306"/>
        </w:tabs>
      </w:pPr>
      <w:r>
        <w:fldChar w:fldCharType="begin"/>
      </w:r>
      <w:r>
        <w:instrText xml:space="preserve"> HYPERLINK \l _Toc22168 </w:instrText>
      </w:r>
      <w:r>
        <w:fldChar w:fldCharType="separate"/>
      </w:r>
      <w:r>
        <w:rPr>
          <w:rFonts w:hint="eastAsia" w:ascii="方正小标宋简体" w:hAnsi="方正小标宋简体" w:eastAsia="方正小标宋简体" w:cs="方正小标宋简体"/>
          <w:kern w:val="0"/>
        </w:rPr>
        <w:t>第一节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优化城镇化布局形态</w:t>
      </w:r>
      <w:r>
        <w:tab/>
      </w:r>
      <w:r>
        <w:fldChar w:fldCharType="begin"/>
      </w:r>
      <w:r>
        <w:instrText xml:space="preserve"> PAGEREF _Toc22168 </w:instrText>
      </w:r>
      <w:r>
        <w:fldChar w:fldCharType="separate"/>
      </w:r>
      <w:r>
        <w:t>37</w:t>
      </w:r>
      <w:r>
        <w:fldChar w:fldCharType="end"/>
      </w:r>
      <w:r>
        <w:fldChar w:fldCharType="end"/>
      </w:r>
    </w:p>
    <w:p w14:paraId="132A117C">
      <w:pPr>
        <w:pStyle w:val="14"/>
        <w:tabs>
          <w:tab w:val="right" w:leader="dot" w:pos="8306"/>
        </w:tabs>
      </w:pPr>
      <w:r>
        <w:fldChar w:fldCharType="begin"/>
      </w:r>
      <w:r>
        <w:instrText xml:space="preserve"> HYPERLINK \l _Toc17918 </w:instrText>
      </w:r>
      <w:r>
        <w:fldChar w:fldCharType="separate"/>
      </w:r>
      <w:r>
        <w:rPr>
          <w:rFonts w:hint="eastAsia" w:ascii="方正小标宋简体" w:hAnsi="方正小标宋简体" w:eastAsia="方正小标宋简体" w:cs="方正小标宋简体"/>
          <w:kern w:val="0"/>
        </w:rPr>
        <w:t>第二节  推进县城多组团差异化发展</w:t>
      </w:r>
      <w:r>
        <w:tab/>
      </w:r>
      <w:r>
        <w:fldChar w:fldCharType="begin"/>
      </w:r>
      <w:r>
        <w:instrText xml:space="preserve"> PAGEREF _Toc17918 </w:instrText>
      </w:r>
      <w:r>
        <w:fldChar w:fldCharType="separate"/>
      </w:r>
      <w:r>
        <w:t>38</w:t>
      </w:r>
      <w:r>
        <w:fldChar w:fldCharType="end"/>
      </w:r>
      <w:r>
        <w:fldChar w:fldCharType="end"/>
      </w:r>
    </w:p>
    <w:p w14:paraId="7AADC059">
      <w:pPr>
        <w:pStyle w:val="14"/>
        <w:tabs>
          <w:tab w:val="right" w:leader="dot" w:pos="8306"/>
        </w:tabs>
      </w:pPr>
      <w:r>
        <w:fldChar w:fldCharType="begin"/>
      </w:r>
      <w:r>
        <w:instrText xml:space="preserve"> HYPERLINK \l _Toc23948 </w:instrText>
      </w:r>
      <w:r>
        <w:fldChar w:fldCharType="separate"/>
      </w:r>
      <w:r>
        <w:rPr>
          <w:rFonts w:hint="eastAsia" w:ascii="方正小标宋简体" w:hAnsi="方正小标宋简体" w:eastAsia="方正小标宋简体" w:cs="方正小标宋简体"/>
          <w:kern w:val="0"/>
        </w:rPr>
        <w:t>第三节  聚力提升城镇品质</w:t>
      </w:r>
      <w:r>
        <w:tab/>
      </w:r>
      <w:r>
        <w:fldChar w:fldCharType="begin"/>
      </w:r>
      <w:r>
        <w:instrText xml:space="preserve"> PAGEREF _Toc23948 </w:instrText>
      </w:r>
      <w:r>
        <w:fldChar w:fldCharType="separate"/>
      </w:r>
      <w:r>
        <w:t>41</w:t>
      </w:r>
      <w:r>
        <w:fldChar w:fldCharType="end"/>
      </w:r>
      <w:r>
        <w:fldChar w:fldCharType="end"/>
      </w:r>
    </w:p>
    <w:p w14:paraId="674D1D03">
      <w:pPr>
        <w:pStyle w:val="14"/>
        <w:tabs>
          <w:tab w:val="right" w:leader="dot" w:pos="8306"/>
        </w:tabs>
      </w:pPr>
      <w:r>
        <w:fldChar w:fldCharType="begin"/>
      </w:r>
      <w:r>
        <w:instrText xml:space="preserve"> HYPERLINK \l _Toc6797 </w:instrText>
      </w:r>
      <w:r>
        <w:fldChar w:fldCharType="separate"/>
      </w:r>
      <w:r>
        <w:rPr>
          <w:rFonts w:hint="eastAsia" w:ascii="方正小标宋简体" w:hAnsi="方正小标宋简体" w:eastAsia="方正小标宋简体" w:cs="方正小标宋简体"/>
          <w:kern w:val="0"/>
        </w:rPr>
        <w:t>第四节  推进特色小城镇建设</w:t>
      </w:r>
      <w:r>
        <w:tab/>
      </w:r>
      <w:r>
        <w:fldChar w:fldCharType="begin"/>
      </w:r>
      <w:r>
        <w:instrText xml:space="preserve"> PAGEREF _Toc6797 </w:instrText>
      </w:r>
      <w:r>
        <w:fldChar w:fldCharType="separate"/>
      </w:r>
      <w:r>
        <w:t>42</w:t>
      </w:r>
      <w:r>
        <w:fldChar w:fldCharType="end"/>
      </w:r>
      <w:r>
        <w:fldChar w:fldCharType="end"/>
      </w:r>
    </w:p>
    <w:p w14:paraId="7E6CEE19">
      <w:pPr>
        <w:pStyle w:val="14"/>
        <w:tabs>
          <w:tab w:val="right" w:leader="dot" w:pos="8306"/>
        </w:tabs>
      </w:pPr>
      <w:r>
        <w:fldChar w:fldCharType="begin"/>
      </w:r>
      <w:r>
        <w:instrText xml:space="preserve"> HYPERLINK \l _Toc7230 </w:instrText>
      </w:r>
      <w:r>
        <w:fldChar w:fldCharType="separate"/>
      </w:r>
      <w:r>
        <w:rPr>
          <w:rFonts w:hint="eastAsia" w:ascii="方正小标宋简体" w:hAnsi="方正小标宋简体" w:eastAsia="方正小标宋简体" w:cs="方正小标宋简体"/>
          <w:kern w:val="0"/>
        </w:rPr>
        <w:t>第五节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推动城乡</w:t>
      </w:r>
      <w:r>
        <w:rPr>
          <w:rFonts w:hint="eastAsia" w:ascii="方正小标宋简体" w:hAnsi="方正小标宋简体" w:eastAsia="方正小标宋简体" w:cs="方正小标宋简体"/>
          <w:kern w:val="0"/>
          <w:lang w:val="en-US" w:eastAsia="zh-CN"/>
        </w:rPr>
        <w:t>融合</w:t>
      </w:r>
      <w:r>
        <w:rPr>
          <w:rFonts w:hint="eastAsia" w:ascii="方正小标宋简体" w:hAnsi="方正小标宋简体" w:eastAsia="方正小标宋简体" w:cs="方正小标宋简体"/>
          <w:kern w:val="0"/>
        </w:rPr>
        <w:t>发展</w:t>
      </w:r>
      <w:r>
        <w:tab/>
      </w:r>
      <w:r>
        <w:fldChar w:fldCharType="begin"/>
      </w:r>
      <w:r>
        <w:instrText xml:space="preserve"> PAGEREF _Toc7230 </w:instrText>
      </w:r>
      <w:r>
        <w:fldChar w:fldCharType="separate"/>
      </w:r>
      <w:r>
        <w:t>44</w:t>
      </w:r>
      <w:r>
        <w:fldChar w:fldCharType="end"/>
      </w:r>
      <w:r>
        <w:fldChar w:fldCharType="end"/>
      </w:r>
    </w:p>
    <w:p w14:paraId="01754AD3">
      <w:pPr>
        <w:pStyle w:val="12"/>
        <w:tabs>
          <w:tab w:val="right" w:leader="dot" w:pos="8306"/>
        </w:tabs>
        <w:ind w:firstLine="420" w:firstLineChars="200"/>
      </w:pPr>
      <w:r>
        <w:fldChar w:fldCharType="begin"/>
      </w:r>
      <w:r>
        <w:instrText xml:space="preserve"> HYPERLINK \l _Toc22431 </w:instrText>
      </w:r>
      <w:r>
        <w:fldChar w:fldCharType="separate"/>
      </w:r>
      <w:r>
        <w:rPr>
          <w:rFonts w:hint="eastAsia" w:ascii="方正小标宋简体" w:hAnsi="方正小标宋简体" w:eastAsia="方正小标宋简体" w:cs="方正小标宋简体"/>
          <w:szCs w:val="36"/>
        </w:rPr>
        <w:t>第五章  加强基础设施建设</w:t>
      </w:r>
      <w:r>
        <w:rPr>
          <w:rFonts w:hint="eastAsia" w:ascii="方正小标宋简体" w:hAnsi="方正小标宋简体" w:eastAsia="方正小标宋简体" w:cs="方正小标宋简体"/>
          <w:szCs w:val="36"/>
          <w:lang w:val="en-US" w:eastAsia="zh-CN"/>
        </w:rPr>
        <w:t xml:space="preserve">  高质量</w:t>
      </w:r>
      <w:r>
        <w:rPr>
          <w:rFonts w:hint="eastAsia" w:ascii="方正小标宋简体" w:hAnsi="方正小标宋简体" w:eastAsia="方正小标宋简体" w:cs="方正小标宋简体"/>
          <w:szCs w:val="36"/>
        </w:rPr>
        <w:t>提升城市服务能级</w:t>
      </w:r>
      <w:r>
        <w:tab/>
      </w:r>
      <w:r>
        <w:fldChar w:fldCharType="begin"/>
      </w:r>
      <w:r>
        <w:instrText xml:space="preserve"> PAGEREF _Toc22431 </w:instrText>
      </w:r>
      <w:r>
        <w:fldChar w:fldCharType="separate"/>
      </w:r>
      <w:r>
        <w:t>47</w:t>
      </w:r>
      <w:r>
        <w:fldChar w:fldCharType="end"/>
      </w:r>
      <w:r>
        <w:fldChar w:fldCharType="end"/>
      </w:r>
    </w:p>
    <w:p w14:paraId="2718374F">
      <w:pPr>
        <w:pStyle w:val="14"/>
        <w:tabs>
          <w:tab w:val="right" w:leader="dot" w:pos="8306"/>
        </w:tabs>
      </w:pPr>
      <w:r>
        <w:fldChar w:fldCharType="begin"/>
      </w:r>
      <w:r>
        <w:instrText xml:space="preserve"> HYPERLINK \l _Toc2641 </w:instrText>
      </w:r>
      <w:r>
        <w:fldChar w:fldCharType="separate"/>
      </w:r>
      <w:r>
        <w:rPr>
          <w:rFonts w:hint="eastAsia" w:ascii="方正小标宋简体" w:hAnsi="方正小标宋简体" w:eastAsia="方正小标宋简体" w:cs="方正小标宋简体"/>
          <w:kern w:val="0"/>
        </w:rPr>
        <w:t>第一节  加快新型基础设施建设</w:t>
      </w:r>
      <w:r>
        <w:tab/>
      </w:r>
      <w:r>
        <w:fldChar w:fldCharType="begin"/>
      </w:r>
      <w:r>
        <w:instrText xml:space="preserve"> PAGEREF _Toc2641 </w:instrText>
      </w:r>
      <w:r>
        <w:fldChar w:fldCharType="separate"/>
      </w:r>
      <w:r>
        <w:t>47</w:t>
      </w:r>
      <w:r>
        <w:fldChar w:fldCharType="end"/>
      </w:r>
      <w:r>
        <w:fldChar w:fldCharType="end"/>
      </w:r>
    </w:p>
    <w:p w14:paraId="08EE1F4A">
      <w:pPr>
        <w:pStyle w:val="14"/>
        <w:tabs>
          <w:tab w:val="right" w:leader="dot" w:pos="8306"/>
        </w:tabs>
      </w:pPr>
      <w:r>
        <w:fldChar w:fldCharType="begin"/>
      </w:r>
      <w:r>
        <w:instrText xml:space="preserve"> HYPERLINK \l _Toc4395 </w:instrText>
      </w:r>
      <w:r>
        <w:fldChar w:fldCharType="separate"/>
      </w:r>
      <w:r>
        <w:rPr>
          <w:rFonts w:hint="eastAsia" w:ascii="方正小标宋简体" w:hAnsi="方正小标宋简体" w:eastAsia="方正小标宋简体" w:cs="方正小标宋简体"/>
          <w:kern w:val="0"/>
        </w:rPr>
        <w:t>第二节</w:t>
      </w:r>
      <w:r>
        <w:rPr>
          <w:rFonts w:ascii="方正小标宋简体" w:hAnsi="方正小标宋简体" w:eastAsia="方正小标宋简体" w:cs="方正小标宋简体"/>
          <w:color w:val="auto"/>
          <w:kern w:val="0"/>
        </w:rPr>
        <w:t xml:space="preserve">  </w:t>
      </w:r>
      <w:r>
        <w:rPr>
          <w:rFonts w:hint="eastAsia" w:ascii="方正小标宋简体" w:hAnsi="方正小标宋简体" w:eastAsia="方正小标宋简体" w:cs="方正小标宋简体"/>
          <w:color w:val="auto"/>
          <w:kern w:val="0"/>
        </w:rPr>
        <w:t>构筑现代交通体系</w:t>
      </w:r>
      <w:r>
        <w:tab/>
      </w:r>
      <w:r>
        <w:fldChar w:fldCharType="begin"/>
      </w:r>
      <w:r>
        <w:instrText xml:space="preserve"> PAGEREF _Toc4395 </w:instrText>
      </w:r>
      <w:r>
        <w:fldChar w:fldCharType="separate"/>
      </w:r>
      <w:r>
        <w:t>49</w:t>
      </w:r>
      <w:r>
        <w:fldChar w:fldCharType="end"/>
      </w:r>
      <w:r>
        <w:fldChar w:fldCharType="end"/>
      </w:r>
    </w:p>
    <w:p w14:paraId="130E2256">
      <w:pPr>
        <w:pStyle w:val="14"/>
        <w:tabs>
          <w:tab w:val="right" w:leader="dot" w:pos="8306"/>
        </w:tabs>
      </w:pPr>
      <w:r>
        <w:fldChar w:fldCharType="begin"/>
      </w:r>
      <w:r>
        <w:instrText xml:space="preserve"> HYPERLINK \l _Toc30584 </w:instrText>
      </w:r>
      <w:r>
        <w:fldChar w:fldCharType="separate"/>
      </w:r>
      <w:r>
        <w:rPr>
          <w:rFonts w:hint="eastAsia" w:ascii="方正小标宋简体" w:hAnsi="方正小标宋简体" w:eastAsia="方正小标宋简体" w:cs="方正小标宋简体"/>
          <w:kern w:val="0"/>
        </w:rPr>
        <w:t>第三节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完善城镇水利基础设施</w:t>
      </w:r>
      <w:r>
        <w:tab/>
      </w:r>
      <w:r>
        <w:fldChar w:fldCharType="begin"/>
      </w:r>
      <w:r>
        <w:instrText xml:space="preserve"> PAGEREF _Toc30584 </w:instrText>
      </w:r>
      <w:r>
        <w:fldChar w:fldCharType="separate"/>
      </w:r>
      <w:r>
        <w:t>52</w:t>
      </w:r>
      <w:r>
        <w:fldChar w:fldCharType="end"/>
      </w:r>
      <w:r>
        <w:fldChar w:fldCharType="end"/>
      </w:r>
    </w:p>
    <w:p w14:paraId="06A619B4">
      <w:pPr>
        <w:pStyle w:val="14"/>
        <w:tabs>
          <w:tab w:val="right" w:leader="dot" w:pos="8306"/>
        </w:tabs>
      </w:pPr>
      <w:r>
        <w:fldChar w:fldCharType="begin"/>
      </w:r>
      <w:r>
        <w:instrText xml:space="preserve"> HYPERLINK \l _Toc3317 </w:instrText>
      </w:r>
      <w:r>
        <w:fldChar w:fldCharType="separate"/>
      </w:r>
      <w:r>
        <w:rPr>
          <w:rFonts w:hint="eastAsia" w:ascii="方正小标宋简体" w:hAnsi="方正小标宋简体" w:eastAsia="方正小标宋简体" w:cs="方正小标宋简体"/>
          <w:kern w:val="0"/>
        </w:rPr>
        <w:t>第四节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畅通城市各类管网等设施</w:t>
      </w:r>
      <w:r>
        <w:tab/>
      </w:r>
      <w:r>
        <w:fldChar w:fldCharType="begin"/>
      </w:r>
      <w:r>
        <w:instrText xml:space="preserve"> PAGEREF _Toc3317 </w:instrText>
      </w:r>
      <w:r>
        <w:fldChar w:fldCharType="separate"/>
      </w:r>
      <w:r>
        <w:t>54</w:t>
      </w:r>
      <w:r>
        <w:fldChar w:fldCharType="end"/>
      </w:r>
      <w:r>
        <w:fldChar w:fldCharType="end"/>
      </w:r>
    </w:p>
    <w:p w14:paraId="6BB8213F">
      <w:pPr>
        <w:pStyle w:val="12"/>
        <w:tabs>
          <w:tab w:val="right" w:leader="dot" w:pos="8306"/>
        </w:tabs>
        <w:ind w:firstLine="420" w:firstLineChars="200"/>
      </w:pPr>
      <w:r>
        <w:fldChar w:fldCharType="begin"/>
      </w:r>
      <w:r>
        <w:instrText xml:space="preserve"> HYPERLINK \l _Toc2179 </w:instrText>
      </w:r>
      <w:r>
        <w:fldChar w:fldCharType="separate"/>
      </w:r>
      <w:r>
        <w:rPr>
          <w:rFonts w:hint="eastAsia" w:ascii="方正小标宋简体" w:hAnsi="方正小标宋简体" w:eastAsia="方正小标宋简体" w:cs="方正小标宋简体"/>
          <w:spacing w:val="0"/>
          <w:szCs w:val="36"/>
        </w:rPr>
        <w:t xml:space="preserve">第六章 </w:t>
      </w:r>
      <w:r>
        <w:rPr>
          <w:rFonts w:ascii="方正小标宋简体" w:hAnsi="方正小标宋简体" w:eastAsia="方正小标宋简体" w:cs="方正小标宋简体"/>
          <w:spacing w:val="0"/>
          <w:szCs w:val="36"/>
        </w:rPr>
        <w:t xml:space="preserve"> </w:t>
      </w:r>
      <w:r>
        <w:rPr>
          <w:rFonts w:hint="eastAsia" w:ascii="方正小标宋简体" w:hAnsi="方正小标宋简体" w:eastAsia="方正小标宋简体" w:cs="方正小标宋简体"/>
          <w:spacing w:val="0"/>
          <w:szCs w:val="36"/>
        </w:rPr>
        <w:t>全面推进乡村振兴</w:t>
      </w:r>
      <w:r>
        <w:rPr>
          <w:rFonts w:hint="eastAsia" w:ascii="方正小标宋简体" w:hAnsi="方正小标宋简体" w:eastAsia="方正小标宋简体" w:cs="方正小标宋简体"/>
          <w:spacing w:val="0"/>
          <w:szCs w:val="36"/>
          <w:lang w:val="en-US" w:eastAsia="zh-CN"/>
        </w:rPr>
        <w:t xml:space="preserve">  高质量</w:t>
      </w:r>
      <w:r>
        <w:rPr>
          <w:rFonts w:hint="eastAsia" w:ascii="方正小标宋简体" w:hAnsi="方正小标宋简体" w:eastAsia="方正小标宋简体" w:cs="方正小标宋简体"/>
          <w:spacing w:val="0"/>
          <w:kern w:val="2"/>
          <w:szCs w:val="36"/>
        </w:rPr>
        <w:t>推动农业农村现代化</w:t>
      </w:r>
      <w:r>
        <w:tab/>
      </w:r>
      <w:r>
        <w:fldChar w:fldCharType="begin"/>
      </w:r>
      <w:r>
        <w:instrText xml:space="preserve"> PAGEREF _Toc2179 </w:instrText>
      </w:r>
      <w:r>
        <w:fldChar w:fldCharType="separate"/>
      </w:r>
      <w:r>
        <w:t>57</w:t>
      </w:r>
      <w:r>
        <w:fldChar w:fldCharType="end"/>
      </w:r>
      <w:r>
        <w:fldChar w:fldCharType="end"/>
      </w:r>
    </w:p>
    <w:p w14:paraId="05331129">
      <w:pPr>
        <w:pStyle w:val="14"/>
        <w:tabs>
          <w:tab w:val="right" w:leader="dot" w:pos="8306"/>
        </w:tabs>
      </w:pPr>
      <w:r>
        <w:fldChar w:fldCharType="begin"/>
      </w:r>
      <w:r>
        <w:instrText xml:space="preserve"> HYPERLINK \l _Toc25145 </w:instrText>
      </w:r>
      <w:r>
        <w:fldChar w:fldCharType="separate"/>
      </w:r>
      <w:r>
        <w:rPr>
          <w:rFonts w:hint="eastAsia" w:ascii="方正小标宋简体" w:hAnsi="方正小标宋简体" w:eastAsia="方正小标宋简体" w:cs="方正小标宋简体"/>
          <w:bCs/>
          <w:szCs w:val="32"/>
        </w:rPr>
        <w:t>第一节  以“田园综合体”牵引新时代乡村建设</w:t>
      </w:r>
      <w:r>
        <w:tab/>
      </w:r>
      <w:r>
        <w:fldChar w:fldCharType="begin"/>
      </w:r>
      <w:r>
        <w:instrText xml:space="preserve"> PAGEREF _Toc25145 </w:instrText>
      </w:r>
      <w:r>
        <w:fldChar w:fldCharType="separate"/>
      </w:r>
      <w:r>
        <w:t>57</w:t>
      </w:r>
      <w:r>
        <w:fldChar w:fldCharType="end"/>
      </w:r>
      <w:r>
        <w:fldChar w:fldCharType="end"/>
      </w:r>
    </w:p>
    <w:p w14:paraId="7E81DF4A">
      <w:pPr>
        <w:pStyle w:val="14"/>
        <w:tabs>
          <w:tab w:val="right" w:leader="dot" w:pos="8306"/>
        </w:tabs>
      </w:pPr>
      <w:r>
        <w:fldChar w:fldCharType="begin"/>
      </w:r>
      <w:r>
        <w:instrText xml:space="preserve"> HYPERLINK \l _Toc11942 </w:instrText>
      </w:r>
      <w:r>
        <w:fldChar w:fldCharType="separate"/>
      </w:r>
      <w:r>
        <w:rPr>
          <w:rFonts w:hint="eastAsia" w:ascii="方正小标宋简体" w:hAnsi="方正小标宋简体" w:eastAsia="方正小标宋简体" w:cs="方正小标宋简体"/>
          <w:bCs/>
          <w:szCs w:val="32"/>
        </w:rPr>
        <w:t>第二节  持续增强粮食安全保障能力</w:t>
      </w:r>
      <w:r>
        <w:tab/>
      </w:r>
      <w:r>
        <w:fldChar w:fldCharType="begin"/>
      </w:r>
      <w:r>
        <w:instrText xml:space="preserve"> PAGEREF _Toc11942 </w:instrText>
      </w:r>
      <w:r>
        <w:fldChar w:fldCharType="separate"/>
      </w:r>
      <w:r>
        <w:t>58</w:t>
      </w:r>
      <w:r>
        <w:fldChar w:fldCharType="end"/>
      </w:r>
      <w:r>
        <w:fldChar w:fldCharType="end"/>
      </w:r>
    </w:p>
    <w:p w14:paraId="6727FE36">
      <w:pPr>
        <w:pStyle w:val="14"/>
        <w:tabs>
          <w:tab w:val="right" w:leader="dot" w:pos="8306"/>
        </w:tabs>
      </w:pPr>
      <w:r>
        <w:fldChar w:fldCharType="begin"/>
      </w:r>
      <w:r>
        <w:instrText xml:space="preserve"> HYPERLINK \l _Toc16542 </w:instrText>
      </w:r>
      <w:r>
        <w:fldChar w:fldCharType="separate"/>
      </w:r>
      <w:r>
        <w:rPr>
          <w:rFonts w:hint="eastAsia" w:ascii="方正小标宋简体" w:hAnsi="方正小标宋简体" w:eastAsia="方正小标宋简体" w:cs="方正小标宋简体"/>
          <w:bCs/>
          <w:szCs w:val="32"/>
        </w:rPr>
        <w:t>第三节  大力发展山地都市现代农业</w:t>
      </w:r>
      <w:r>
        <w:tab/>
      </w:r>
      <w:r>
        <w:fldChar w:fldCharType="begin"/>
      </w:r>
      <w:r>
        <w:instrText xml:space="preserve"> PAGEREF _Toc16542 </w:instrText>
      </w:r>
      <w:r>
        <w:fldChar w:fldCharType="separate"/>
      </w:r>
      <w:r>
        <w:t>59</w:t>
      </w:r>
      <w:r>
        <w:fldChar w:fldCharType="end"/>
      </w:r>
      <w:r>
        <w:fldChar w:fldCharType="end"/>
      </w:r>
    </w:p>
    <w:p w14:paraId="191F68D3">
      <w:pPr>
        <w:pStyle w:val="14"/>
        <w:tabs>
          <w:tab w:val="right" w:leader="dot" w:pos="8306"/>
        </w:tabs>
      </w:pPr>
      <w:r>
        <w:fldChar w:fldCharType="begin"/>
      </w:r>
      <w:r>
        <w:instrText xml:space="preserve"> HYPERLINK \l _Toc22826 </w:instrText>
      </w:r>
      <w:r>
        <w:fldChar w:fldCharType="separate"/>
      </w:r>
      <w:r>
        <w:rPr>
          <w:rFonts w:hint="eastAsia" w:ascii="方正小标宋简体" w:hAnsi="方正小标宋简体" w:eastAsia="方正小标宋简体" w:cs="方正小标宋简体"/>
          <w:bCs/>
          <w:szCs w:val="32"/>
        </w:rPr>
        <w:t>第四节  持续深化农村改革</w:t>
      </w:r>
      <w:r>
        <w:tab/>
      </w:r>
      <w:r>
        <w:fldChar w:fldCharType="begin"/>
      </w:r>
      <w:r>
        <w:instrText xml:space="preserve"> PAGEREF _Toc22826 </w:instrText>
      </w:r>
      <w:r>
        <w:fldChar w:fldCharType="separate"/>
      </w:r>
      <w:r>
        <w:t>61</w:t>
      </w:r>
      <w:r>
        <w:fldChar w:fldCharType="end"/>
      </w:r>
      <w:r>
        <w:fldChar w:fldCharType="end"/>
      </w:r>
    </w:p>
    <w:p w14:paraId="6AB20367">
      <w:pPr>
        <w:pStyle w:val="14"/>
        <w:tabs>
          <w:tab w:val="right" w:leader="dot" w:pos="8306"/>
        </w:tabs>
      </w:pPr>
      <w:r>
        <w:fldChar w:fldCharType="begin"/>
      </w:r>
      <w:r>
        <w:instrText xml:space="preserve"> HYPERLINK \l _Toc10658 </w:instrText>
      </w:r>
      <w:r>
        <w:fldChar w:fldCharType="separate"/>
      </w:r>
      <w:r>
        <w:rPr>
          <w:rFonts w:hint="eastAsia" w:ascii="方正小标宋简体" w:hAnsi="方正小标宋简体" w:eastAsia="方正小标宋简体" w:cs="方正小标宋简体"/>
          <w:bCs/>
          <w:szCs w:val="32"/>
        </w:rPr>
        <w:t>第五节  推动巩固拓展脱贫攻坚成果同乡村振兴有效衔接</w:t>
      </w:r>
      <w:r>
        <w:tab/>
      </w:r>
      <w:r>
        <w:fldChar w:fldCharType="begin"/>
      </w:r>
      <w:r>
        <w:instrText xml:space="preserve"> PAGEREF _Toc10658 </w:instrText>
      </w:r>
      <w:r>
        <w:fldChar w:fldCharType="separate"/>
      </w:r>
      <w:r>
        <w:t>62</w:t>
      </w:r>
      <w:r>
        <w:fldChar w:fldCharType="end"/>
      </w:r>
      <w:r>
        <w:fldChar w:fldCharType="end"/>
      </w:r>
    </w:p>
    <w:p w14:paraId="5CF09303">
      <w:pPr>
        <w:pStyle w:val="14"/>
        <w:tabs>
          <w:tab w:val="right" w:leader="dot" w:pos="8306"/>
        </w:tabs>
      </w:pPr>
      <w:r>
        <w:fldChar w:fldCharType="begin"/>
      </w:r>
      <w:r>
        <w:instrText xml:space="preserve"> HYPERLINK \l _Toc14946 </w:instrText>
      </w:r>
      <w:r>
        <w:fldChar w:fldCharType="separate"/>
      </w:r>
      <w:r>
        <w:rPr>
          <w:rFonts w:hint="eastAsia" w:ascii="方正小标宋简体" w:hAnsi="方正小标宋简体" w:eastAsia="方正小标宋简体" w:cs="方正小标宋简体"/>
          <w:kern w:val="0"/>
        </w:rPr>
        <w:t>第六节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lang w:val="en-US" w:eastAsia="zh-CN"/>
        </w:rPr>
        <w:t xml:space="preserve"> </w:t>
      </w:r>
      <w:r>
        <w:rPr>
          <w:rFonts w:hint="eastAsia" w:ascii="方正小标宋简体" w:hAnsi="方正小标宋简体" w:eastAsia="方正小标宋简体" w:cs="方正小标宋简体"/>
          <w:kern w:val="0"/>
        </w:rPr>
        <w:t>夯实农业农村发展基础</w:t>
      </w:r>
      <w:r>
        <w:tab/>
      </w:r>
      <w:r>
        <w:fldChar w:fldCharType="begin"/>
      </w:r>
      <w:r>
        <w:instrText xml:space="preserve"> PAGEREF _Toc14946 </w:instrText>
      </w:r>
      <w:r>
        <w:fldChar w:fldCharType="separate"/>
      </w:r>
      <w:r>
        <w:t>64</w:t>
      </w:r>
      <w:r>
        <w:fldChar w:fldCharType="end"/>
      </w:r>
      <w:r>
        <w:fldChar w:fldCharType="end"/>
      </w:r>
    </w:p>
    <w:p w14:paraId="2D618D0B">
      <w:pPr>
        <w:pStyle w:val="12"/>
        <w:tabs>
          <w:tab w:val="right" w:leader="dot" w:pos="8306"/>
        </w:tabs>
        <w:ind w:firstLine="420" w:firstLineChars="200"/>
      </w:pPr>
      <w:r>
        <w:fldChar w:fldCharType="begin"/>
      </w:r>
      <w:r>
        <w:instrText xml:space="preserve"> HYPERLINK \l _Toc26363 </w:instrText>
      </w:r>
      <w:r>
        <w:fldChar w:fldCharType="separate"/>
      </w:r>
      <w:r>
        <w:rPr>
          <w:rFonts w:hint="eastAsia" w:ascii="方正小标宋简体" w:hAnsi="方正小标宋简体" w:eastAsia="方正小标宋简体" w:cs="方正小标宋简体"/>
          <w:szCs w:val="36"/>
        </w:rPr>
        <w:t>第七章  加快推进新型工业化</w:t>
      </w:r>
      <w:r>
        <w:rPr>
          <w:rFonts w:hint="eastAsia" w:ascii="方正小标宋简体" w:hAnsi="方正小标宋简体" w:eastAsia="方正小标宋简体" w:cs="方正小标宋简体"/>
          <w:szCs w:val="36"/>
          <w:lang w:val="en-US" w:eastAsia="zh-CN"/>
        </w:rPr>
        <w:t xml:space="preserve">  高质量</w:t>
      </w:r>
      <w:r>
        <w:rPr>
          <w:rFonts w:hint="eastAsia" w:ascii="方正小标宋简体" w:hAnsi="方正小标宋简体" w:eastAsia="方正小标宋简体" w:cs="方正小标宋简体"/>
          <w:szCs w:val="36"/>
        </w:rPr>
        <w:t>打造中高端制造业核心配套区</w:t>
      </w:r>
      <w:r>
        <w:tab/>
      </w:r>
      <w:r>
        <w:fldChar w:fldCharType="begin"/>
      </w:r>
      <w:r>
        <w:instrText xml:space="preserve"> PAGEREF _Toc26363 </w:instrText>
      </w:r>
      <w:r>
        <w:fldChar w:fldCharType="separate"/>
      </w:r>
      <w:r>
        <w:t>67</w:t>
      </w:r>
      <w:r>
        <w:fldChar w:fldCharType="end"/>
      </w:r>
      <w:r>
        <w:fldChar w:fldCharType="end"/>
      </w:r>
    </w:p>
    <w:p w14:paraId="3A8F3ACE">
      <w:pPr>
        <w:pStyle w:val="14"/>
        <w:tabs>
          <w:tab w:val="right" w:leader="dot" w:pos="8306"/>
        </w:tabs>
      </w:pPr>
      <w:r>
        <w:fldChar w:fldCharType="begin"/>
      </w:r>
      <w:r>
        <w:instrText xml:space="preserve"> HYPERLINK \l _Toc31505 </w:instrText>
      </w:r>
      <w:r>
        <w:fldChar w:fldCharType="separate"/>
      </w:r>
      <w:r>
        <w:rPr>
          <w:rFonts w:hint="eastAsia" w:ascii="方正小标宋简体" w:hAnsi="方正小标宋简体" w:eastAsia="方正小标宋简体" w:cs="方正小标宋简体"/>
          <w:kern w:val="0"/>
        </w:rPr>
        <w:t>第一节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工业发展空间布局</w:t>
      </w:r>
      <w:r>
        <w:tab/>
      </w:r>
      <w:r>
        <w:fldChar w:fldCharType="begin"/>
      </w:r>
      <w:r>
        <w:instrText xml:space="preserve"> PAGEREF _Toc31505 </w:instrText>
      </w:r>
      <w:r>
        <w:fldChar w:fldCharType="separate"/>
      </w:r>
      <w:r>
        <w:t>67</w:t>
      </w:r>
      <w:r>
        <w:fldChar w:fldCharType="end"/>
      </w:r>
      <w:r>
        <w:fldChar w:fldCharType="end"/>
      </w:r>
    </w:p>
    <w:p w14:paraId="4294ABCF">
      <w:pPr>
        <w:pStyle w:val="14"/>
        <w:tabs>
          <w:tab w:val="right" w:leader="dot" w:pos="8306"/>
        </w:tabs>
      </w:pPr>
      <w:r>
        <w:fldChar w:fldCharType="begin"/>
      </w:r>
      <w:r>
        <w:instrText xml:space="preserve"> HYPERLINK \l _Toc3551 </w:instrText>
      </w:r>
      <w:r>
        <w:fldChar w:fldCharType="separate"/>
      </w:r>
      <w:r>
        <w:rPr>
          <w:rFonts w:hint="eastAsia" w:ascii="方正小标宋简体" w:hAnsi="方正小标宋简体" w:eastAsia="方正小标宋简体" w:cs="方正小标宋简体"/>
          <w:kern w:val="0"/>
        </w:rPr>
        <w:t>第二节  加快做强七大产业</w:t>
      </w:r>
      <w:r>
        <w:tab/>
      </w:r>
      <w:r>
        <w:fldChar w:fldCharType="begin"/>
      </w:r>
      <w:r>
        <w:instrText xml:space="preserve"> PAGEREF _Toc3551 </w:instrText>
      </w:r>
      <w:r>
        <w:fldChar w:fldCharType="separate"/>
      </w:r>
      <w:r>
        <w:t>69</w:t>
      </w:r>
      <w:r>
        <w:fldChar w:fldCharType="end"/>
      </w:r>
      <w:r>
        <w:fldChar w:fldCharType="end"/>
      </w:r>
    </w:p>
    <w:p w14:paraId="202ACD06">
      <w:pPr>
        <w:pStyle w:val="14"/>
        <w:tabs>
          <w:tab w:val="right" w:leader="dot" w:pos="8306"/>
        </w:tabs>
      </w:pPr>
      <w:r>
        <w:fldChar w:fldCharType="begin"/>
      </w:r>
      <w:r>
        <w:instrText xml:space="preserve"> HYPERLINK \l _Toc21041 </w:instrText>
      </w:r>
      <w:r>
        <w:fldChar w:fldCharType="separate"/>
      </w:r>
      <w:r>
        <w:rPr>
          <w:rFonts w:hint="eastAsia" w:ascii="方正小标宋简体" w:hAnsi="方正小标宋简体" w:eastAsia="方正小标宋简体" w:cs="方正小标宋简体"/>
          <w:kern w:val="0"/>
        </w:rPr>
        <w:t>第三节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推进经开区产业平台扩容升级</w:t>
      </w:r>
      <w:r>
        <w:tab/>
      </w:r>
      <w:r>
        <w:fldChar w:fldCharType="begin"/>
      </w:r>
      <w:r>
        <w:instrText xml:space="preserve"> PAGEREF _Toc21041 </w:instrText>
      </w:r>
      <w:r>
        <w:fldChar w:fldCharType="separate"/>
      </w:r>
      <w:r>
        <w:t>73</w:t>
      </w:r>
      <w:r>
        <w:fldChar w:fldCharType="end"/>
      </w:r>
      <w:r>
        <w:fldChar w:fldCharType="end"/>
      </w:r>
    </w:p>
    <w:p w14:paraId="5D2F9C8B">
      <w:pPr>
        <w:pStyle w:val="12"/>
        <w:tabs>
          <w:tab w:val="right" w:leader="dot" w:pos="8306"/>
        </w:tabs>
        <w:ind w:firstLine="420" w:firstLineChars="200"/>
      </w:pPr>
      <w:r>
        <w:fldChar w:fldCharType="begin"/>
      </w:r>
      <w:r>
        <w:instrText xml:space="preserve"> HYPERLINK \l _Toc4410 </w:instrText>
      </w:r>
      <w:r>
        <w:fldChar w:fldCharType="separate"/>
      </w:r>
      <w:r>
        <w:rPr>
          <w:rFonts w:hint="eastAsia" w:ascii="方正小标宋简体" w:hAnsi="方正小标宋简体" w:eastAsia="方正小标宋简体" w:cs="方正小标宋简体"/>
          <w:szCs w:val="36"/>
        </w:rPr>
        <w:t>第八章  发展中高端消费业</w:t>
      </w:r>
      <w:r>
        <w:rPr>
          <w:rFonts w:hint="eastAsia" w:ascii="方正小标宋简体" w:hAnsi="方正小标宋简体" w:eastAsia="方正小标宋简体" w:cs="方正小标宋简体"/>
          <w:szCs w:val="36"/>
          <w:lang w:val="en-US" w:eastAsia="zh-CN"/>
        </w:rPr>
        <w:t xml:space="preserve">  高质量</w:t>
      </w:r>
      <w:r>
        <w:rPr>
          <w:rFonts w:hint="eastAsia" w:ascii="方正小标宋简体" w:hAnsi="方正小标宋简体" w:eastAsia="方正小标宋简体" w:cs="方正小标宋简体"/>
          <w:szCs w:val="36"/>
        </w:rPr>
        <w:t>推进三产</w:t>
      </w:r>
      <w:r>
        <w:rPr>
          <w:rFonts w:hint="eastAsia" w:ascii="方正小标宋简体" w:hAnsi="方正小标宋简体" w:eastAsia="方正小标宋简体" w:cs="方正小标宋简体"/>
          <w:szCs w:val="36"/>
          <w:lang w:val="en-US" w:eastAsia="zh-CN"/>
        </w:rPr>
        <w:t>提质增效</w:t>
      </w:r>
      <w:r>
        <w:tab/>
      </w:r>
      <w:r>
        <w:fldChar w:fldCharType="begin"/>
      </w:r>
      <w:r>
        <w:instrText xml:space="preserve"> PAGEREF _Toc4410 </w:instrText>
      </w:r>
      <w:r>
        <w:fldChar w:fldCharType="separate"/>
      </w:r>
      <w:r>
        <w:t>77</w:t>
      </w:r>
      <w:r>
        <w:fldChar w:fldCharType="end"/>
      </w:r>
      <w:r>
        <w:fldChar w:fldCharType="end"/>
      </w:r>
    </w:p>
    <w:p w14:paraId="42F87EAF">
      <w:pPr>
        <w:pStyle w:val="14"/>
        <w:tabs>
          <w:tab w:val="right" w:leader="dot" w:pos="8306"/>
        </w:tabs>
      </w:pPr>
      <w:r>
        <w:fldChar w:fldCharType="begin"/>
      </w:r>
      <w:r>
        <w:instrText xml:space="preserve"> HYPERLINK \l _Toc27026 </w:instrText>
      </w:r>
      <w:r>
        <w:fldChar w:fldCharType="separate"/>
      </w:r>
      <w:r>
        <w:rPr>
          <w:rFonts w:hint="eastAsia" w:ascii="方正小标宋简体" w:hAnsi="方正小标宋简体" w:eastAsia="方正小标宋简体" w:cs="方正小标宋简体"/>
          <w:kern w:val="0"/>
        </w:rPr>
        <w:t>第一节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大力发展中高端消费业</w:t>
      </w:r>
      <w:r>
        <w:tab/>
      </w:r>
      <w:r>
        <w:fldChar w:fldCharType="begin"/>
      </w:r>
      <w:r>
        <w:instrText xml:space="preserve"> PAGEREF _Toc27026 </w:instrText>
      </w:r>
      <w:r>
        <w:fldChar w:fldCharType="separate"/>
      </w:r>
      <w:r>
        <w:t>77</w:t>
      </w:r>
      <w:r>
        <w:fldChar w:fldCharType="end"/>
      </w:r>
      <w:r>
        <w:fldChar w:fldCharType="end"/>
      </w:r>
    </w:p>
    <w:p w14:paraId="7E23D96D">
      <w:pPr>
        <w:pStyle w:val="14"/>
        <w:tabs>
          <w:tab w:val="right" w:leader="dot" w:pos="8306"/>
        </w:tabs>
      </w:pPr>
      <w:r>
        <w:fldChar w:fldCharType="begin"/>
      </w:r>
      <w:r>
        <w:instrText xml:space="preserve"> HYPERLINK \l _Toc13287 </w:instrText>
      </w:r>
      <w:r>
        <w:fldChar w:fldCharType="separate"/>
      </w:r>
      <w:r>
        <w:rPr>
          <w:rFonts w:hint="eastAsia" w:ascii="方正小标宋简体" w:hAnsi="方正小标宋简体" w:eastAsia="方正小标宋简体" w:cs="方正小标宋简体"/>
          <w:kern w:val="0"/>
        </w:rPr>
        <w:t xml:space="preserve">第二节 </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加快推进电子商务发展</w:t>
      </w:r>
      <w:r>
        <w:tab/>
      </w:r>
      <w:r>
        <w:fldChar w:fldCharType="begin"/>
      </w:r>
      <w:r>
        <w:instrText xml:space="preserve"> PAGEREF _Toc13287 </w:instrText>
      </w:r>
      <w:r>
        <w:fldChar w:fldCharType="separate"/>
      </w:r>
      <w:r>
        <w:t>79</w:t>
      </w:r>
      <w:r>
        <w:fldChar w:fldCharType="end"/>
      </w:r>
      <w:r>
        <w:fldChar w:fldCharType="end"/>
      </w:r>
    </w:p>
    <w:p w14:paraId="6C33F3E7">
      <w:pPr>
        <w:pStyle w:val="14"/>
        <w:tabs>
          <w:tab w:val="right" w:leader="dot" w:pos="8306"/>
        </w:tabs>
      </w:pPr>
      <w:r>
        <w:fldChar w:fldCharType="begin"/>
      </w:r>
      <w:r>
        <w:instrText xml:space="preserve"> HYPERLINK \l _Toc24514 </w:instrText>
      </w:r>
      <w:r>
        <w:fldChar w:fldCharType="separate"/>
      </w:r>
      <w:r>
        <w:rPr>
          <w:rFonts w:hint="eastAsia" w:ascii="方正小标宋简体" w:hAnsi="方正小标宋简体" w:eastAsia="方正小标宋简体" w:cs="方正小标宋简体"/>
          <w:kern w:val="0"/>
        </w:rPr>
        <w:t>第三节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积极发展现代物流产业</w:t>
      </w:r>
      <w:r>
        <w:tab/>
      </w:r>
      <w:r>
        <w:fldChar w:fldCharType="begin"/>
      </w:r>
      <w:r>
        <w:instrText xml:space="preserve"> PAGEREF _Toc24514 </w:instrText>
      </w:r>
      <w:r>
        <w:fldChar w:fldCharType="separate"/>
      </w:r>
      <w:r>
        <w:t>80</w:t>
      </w:r>
      <w:r>
        <w:fldChar w:fldCharType="end"/>
      </w:r>
      <w:r>
        <w:fldChar w:fldCharType="end"/>
      </w:r>
    </w:p>
    <w:p w14:paraId="195E40D5">
      <w:pPr>
        <w:pStyle w:val="14"/>
        <w:tabs>
          <w:tab w:val="right" w:leader="dot" w:pos="8306"/>
        </w:tabs>
      </w:pPr>
      <w:r>
        <w:fldChar w:fldCharType="begin"/>
      </w:r>
      <w:r>
        <w:instrText xml:space="preserve"> HYPERLINK \l _Toc27856 </w:instrText>
      </w:r>
      <w:r>
        <w:fldChar w:fldCharType="separate"/>
      </w:r>
      <w:r>
        <w:rPr>
          <w:rFonts w:hint="eastAsia" w:ascii="方正小标宋简体" w:hAnsi="方正小标宋简体" w:eastAsia="方正小标宋简体" w:cs="方正小标宋简体"/>
          <w:kern w:val="0"/>
        </w:rPr>
        <w:t>第四节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加快推进其它服务业发展</w:t>
      </w:r>
      <w:r>
        <w:tab/>
      </w:r>
      <w:r>
        <w:fldChar w:fldCharType="begin"/>
      </w:r>
      <w:r>
        <w:instrText xml:space="preserve"> PAGEREF _Toc27856 </w:instrText>
      </w:r>
      <w:r>
        <w:fldChar w:fldCharType="separate"/>
      </w:r>
      <w:r>
        <w:t>83</w:t>
      </w:r>
      <w:r>
        <w:fldChar w:fldCharType="end"/>
      </w:r>
      <w:r>
        <w:fldChar w:fldCharType="end"/>
      </w:r>
    </w:p>
    <w:p w14:paraId="62A2F3EE">
      <w:pPr>
        <w:pStyle w:val="12"/>
        <w:tabs>
          <w:tab w:val="right" w:leader="dot" w:pos="8306"/>
        </w:tabs>
        <w:ind w:firstLine="420" w:firstLineChars="200"/>
      </w:pPr>
      <w:r>
        <w:fldChar w:fldCharType="begin"/>
      </w:r>
      <w:r>
        <w:instrText xml:space="preserve"> HYPERLINK \l _Toc16438 </w:instrText>
      </w:r>
      <w:r>
        <w:fldChar w:fldCharType="separate"/>
      </w:r>
      <w:r>
        <w:rPr>
          <w:rFonts w:hint="eastAsia" w:ascii="方正小标宋简体" w:hAnsi="方正小标宋简体" w:eastAsia="方正小标宋简体" w:cs="方正小标宋简体"/>
          <w:szCs w:val="36"/>
        </w:rPr>
        <w:t>第九章  推进旅游产业化</w:t>
      </w:r>
      <w:r>
        <w:rPr>
          <w:rFonts w:hint="eastAsia" w:ascii="方正小标宋简体" w:hAnsi="方正小标宋简体" w:eastAsia="方正小标宋简体" w:cs="方正小标宋简体"/>
          <w:szCs w:val="36"/>
          <w:lang w:val="en-US" w:eastAsia="zh-CN"/>
        </w:rPr>
        <w:t xml:space="preserve">  高质量</w:t>
      </w:r>
      <w:r>
        <w:rPr>
          <w:rFonts w:hint="eastAsia" w:ascii="方正小标宋简体" w:hAnsi="方正小标宋简体" w:eastAsia="方正小标宋简体" w:cs="方正小标宋简体"/>
          <w:szCs w:val="36"/>
        </w:rPr>
        <w:t>打造旅游+消费目的地</w:t>
      </w:r>
      <w:r>
        <w:tab/>
      </w:r>
      <w:r>
        <w:fldChar w:fldCharType="begin"/>
      </w:r>
      <w:r>
        <w:instrText xml:space="preserve"> PAGEREF _Toc16438 </w:instrText>
      </w:r>
      <w:r>
        <w:fldChar w:fldCharType="separate"/>
      </w:r>
      <w:r>
        <w:t>85</w:t>
      </w:r>
      <w:r>
        <w:fldChar w:fldCharType="end"/>
      </w:r>
      <w:r>
        <w:fldChar w:fldCharType="end"/>
      </w:r>
    </w:p>
    <w:p w14:paraId="51614940">
      <w:pPr>
        <w:pStyle w:val="14"/>
        <w:tabs>
          <w:tab w:val="right" w:leader="dot" w:pos="8306"/>
        </w:tabs>
      </w:pPr>
      <w:r>
        <w:fldChar w:fldCharType="begin"/>
      </w:r>
      <w:r>
        <w:instrText xml:space="preserve"> HYPERLINK \l _Toc4359 </w:instrText>
      </w:r>
      <w:r>
        <w:fldChar w:fldCharType="separate"/>
      </w:r>
      <w:r>
        <w:rPr>
          <w:rFonts w:hint="eastAsia" w:ascii="方正小标宋简体" w:hAnsi="方正小标宋简体" w:eastAsia="方正小标宋简体" w:cs="方正小标宋简体"/>
          <w:kern w:val="0"/>
        </w:rPr>
        <w:t>第一节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建成</w:t>
      </w:r>
      <w:r>
        <w:rPr>
          <w:rFonts w:hint="eastAsia" w:ascii="方正小标宋简体" w:hAnsi="方正小标宋简体" w:eastAsia="方正小标宋简体" w:cs="方正小标宋简体"/>
          <w:kern w:val="0"/>
          <w:lang w:eastAsia="zh-CN"/>
        </w:rPr>
        <w:t>贵阳市委党校息烽现场教学基地</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擦亮“红色息烽”品牌</w:t>
      </w:r>
      <w:r>
        <w:tab/>
      </w:r>
      <w:r>
        <w:fldChar w:fldCharType="begin"/>
      </w:r>
      <w:r>
        <w:instrText xml:space="preserve"> PAGEREF _Toc4359 </w:instrText>
      </w:r>
      <w:r>
        <w:fldChar w:fldCharType="separate"/>
      </w:r>
      <w:r>
        <w:t>85</w:t>
      </w:r>
      <w:r>
        <w:fldChar w:fldCharType="end"/>
      </w:r>
      <w:r>
        <w:fldChar w:fldCharType="end"/>
      </w:r>
    </w:p>
    <w:p w14:paraId="7BA951AC">
      <w:pPr>
        <w:pStyle w:val="14"/>
        <w:tabs>
          <w:tab w:val="right" w:leader="dot" w:pos="8306"/>
        </w:tabs>
      </w:pPr>
      <w:r>
        <w:fldChar w:fldCharType="begin"/>
      </w:r>
      <w:r>
        <w:instrText xml:space="preserve"> HYPERLINK \l _Toc19834 </w:instrText>
      </w:r>
      <w:r>
        <w:fldChar w:fldCharType="separate"/>
      </w:r>
      <w:r>
        <w:rPr>
          <w:rFonts w:hint="eastAsia" w:ascii="方正小标宋简体" w:hAnsi="方正小标宋简体" w:eastAsia="方正小标宋简体" w:cs="方正小标宋简体"/>
          <w:kern w:val="0"/>
        </w:rPr>
        <w:t>第二节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打造“百里氡温泉城”</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集聚健康养生产业</w:t>
      </w:r>
      <w:r>
        <w:tab/>
      </w:r>
      <w:r>
        <w:fldChar w:fldCharType="begin"/>
      </w:r>
      <w:r>
        <w:instrText xml:space="preserve"> PAGEREF _Toc19834 </w:instrText>
      </w:r>
      <w:r>
        <w:fldChar w:fldCharType="separate"/>
      </w:r>
      <w:r>
        <w:t>87</w:t>
      </w:r>
      <w:r>
        <w:fldChar w:fldCharType="end"/>
      </w:r>
      <w:r>
        <w:fldChar w:fldCharType="end"/>
      </w:r>
    </w:p>
    <w:p w14:paraId="623A6F6B">
      <w:pPr>
        <w:pStyle w:val="14"/>
        <w:tabs>
          <w:tab w:val="right" w:leader="dot" w:pos="8306"/>
        </w:tabs>
      </w:pPr>
      <w:r>
        <w:fldChar w:fldCharType="begin"/>
      </w:r>
      <w:r>
        <w:instrText xml:space="preserve"> HYPERLINK \l _Toc7070 </w:instrText>
      </w:r>
      <w:r>
        <w:fldChar w:fldCharType="separate"/>
      </w:r>
      <w:r>
        <w:rPr>
          <w:rFonts w:hint="eastAsia" w:ascii="方正小标宋简体" w:hAnsi="方正小标宋简体" w:eastAsia="方正小标宋简体" w:cs="方正小标宋简体"/>
          <w:kern w:val="0"/>
        </w:rPr>
        <w:t>第三节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打造大型核心景区  带动旅游融合发展</w:t>
      </w:r>
      <w:r>
        <w:tab/>
      </w:r>
      <w:r>
        <w:fldChar w:fldCharType="begin"/>
      </w:r>
      <w:r>
        <w:instrText xml:space="preserve"> PAGEREF _Toc7070 </w:instrText>
      </w:r>
      <w:r>
        <w:fldChar w:fldCharType="separate"/>
      </w:r>
      <w:r>
        <w:t>89</w:t>
      </w:r>
      <w:r>
        <w:fldChar w:fldCharType="end"/>
      </w:r>
      <w:r>
        <w:fldChar w:fldCharType="end"/>
      </w:r>
    </w:p>
    <w:p w14:paraId="18E04A72">
      <w:pPr>
        <w:pStyle w:val="14"/>
        <w:tabs>
          <w:tab w:val="right" w:leader="dot" w:pos="8306"/>
        </w:tabs>
      </w:pPr>
      <w:r>
        <w:fldChar w:fldCharType="begin"/>
      </w:r>
      <w:r>
        <w:instrText xml:space="preserve"> HYPERLINK \l _Toc13867 </w:instrText>
      </w:r>
      <w:r>
        <w:fldChar w:fldCharType="separate"/>
      </w:r>
      <w:r>
        <w:rPr>
          <w:rFonts w:hint="eastAsia" w:ascii="方正小标宋简体" w:hAnsi="方正小标宋简体" w:eastAsia="方正小标宋简体" w:cs="方正小标宋简体"/>
          <w:kern w:val="0"/>
        </w:rPr>
        <w:t>第四节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开发特色旅游商品</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建设智慧旅游平台</w:t>
      </w:r>
      <w:r>
        <w:tab/>
      </w:r>
      <w:r>
        <w:fldChar w:fldCharType="begin"/>
      </w:r>
      <w:r>
        <w:instrText xml:space="preserve"> PAGEREF _Toc13867 </w:instrText>
      </w:r>
      <w:r>
        <w:fldChar w:fldCharType="separate"/>
      </w:r>
      <w:r>
        <w:t>90</w:t>
      </w:r>
      <w:r>
        <w:fldChar w:fldCharType="end"/>
      </w:r>
      <w:r>
        <w:fldChar w:fldCharType="end"/>
      </w:r>
    </w:p>
    <w:p w14:paraId="5C0B7360">
      <w:pPr>
        <w:pStyle w:val="12"/>
        <w:tabs>
          <w:tab w:val="right" w:leader="dot" w:pos="8306"/>
        </w:tabs>
        <w:ind w:firstLine="420" w:firstLineChars="200"/>
      </w:pPr>
      <w:r>
        <w:fldChar w:fldCharType="begin"/>
      </w:r>
      <w:r>
        <w:instrText xml:space="preserve"> HYPERLINK \l _Toc26952 </w:instrText>
      </w:r>
      <w:r>
        <w:fldChar w:fldCharType="separate"/>
      </w:r>
      <w:r>
        <w:rPr>
          <w:rFonts w:hint="eastAsia" w:ascii="方正小标宋简体" w:hAnsi="方正小标宋简体" w:eastAsia="方正小标宋简体" w:cs="方正小标宋简体"/>
          <w:bCs/>
          <w:szCs w:val="36"/>
        </w:rPr>
        <w:t>第十章  坚持生态优先绿色发展</w:t>
      </w:r>
      <w:r>
        <w:rPr>
          <w:rFonts w:hint="eastAsia" w:ascii="方正小标宋简体" w:hAnsi="方正小标宋简体" w:eastAsia="方正小标宋简体" w:cs="方正小标宋简体"/>
          <w:bCs/>
          <w:szCs w:val="36"/>
          <w:lang w:val="en-US" w:eastAsia="zh-CN"/>
        </w:rPr>
        <w:t xml:space="preserve">  高质量</w:t>
      </w:r>
      <w:r>
        <w:rPr>
          <w:rFonts w:hint="eastAsia" w:ascii="方正小标宋简体" w:hAnsi="方正小标宋简体" w:eastAsia="方正小标宋简体" w:cs="方正小标宋简体"/>
          <w:bCs/>
          <w:szCs w:val="36"/>
        </w:rPr>
        <w:t>建设美丽息烽</w:t>
      </w:r>
      <w:r>
        <w:tab/>
      </w:r>
      <w:r>
        <w:fldChar w:fldCharType="begin"/>
      </w:r>
      <w:r>
        <w:instrText xml:space="preserve"> PAGEREF _Toc26952 </w:instrText>
      </w:r>
      <w:r>
        <w:fldChar w:fldCharType="separate"/>
      </w:r>
      <w:r>
        <w:t>91</w:t>
      </w:r>
      <w:r>
        <w:fldChar w:fldCharType="end"/>
      </w:r>
      <w:r>
        <w:fldChar w:fldCharType="end"/>
      </w:r>
    </w:p>
    <w:p w14:paraId="23F9ABDC">
      <w:pPr>
        <w:pStyle w:val="14"/>
        <w:tabs>
          <w:tab w:val="right" w:leader="dot" w:pos="8306"/>
        </w:tabs>
      </w:pPr>
      <w:r>
        <w:fldChar w:fldCharType="begin"/>
      </w:r>
      <w:r>
        <w:instrText xml:space="preserve"> HYPERLINK \l _Toc21135 </w:instrText>
      </w:r>
      <w:r>
        <w:fldChar w:fldCharType="separate"/>
      </w:r>
      <w:r>
        <w:rPr>
          <w:rFonts w:hint="eastAsia" w:ascii="方正小标宋简体" w:hAnsi="方正小标宋简体" w:eastAsia="方正小标宋简体" w:cs="方正小标宋简体"/>
          <w:kern w:val="0"/>
        </w:rPr>
        <w:t>第一节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加大生态建设与修复力度</w:t>
      </w:r>
      <w:r>
        <w:tab/>
      </w:r>
      <w:r>
        <w:fldChar w:fldCharType="begin"/>
      </w:r>
      <w:r>
        <w:instrText xml:space="preserve"> PAGEREF _Toc21135 </w:instrText>
      </w:r>
      <w:r>
        <w:fldChar w:fldCharType="separate"/>
      </w:r>
      <w:r>
        <w:t>91</w:t>
      </w:r>
      <w:r>
        <w:fldChar w:fldCharType="end"/>
      </w:r>
      <w:r>
        <w:fldChar w:fldCharType="end"/>
      </w:r>
    </w:p>
    <w:p w14:paraId="26FE128F">
      <w:pPr>
        <w:pStyle w:val="14"/>
        <w:tabs>
          <w:tab w:val="right" w:leader="dot" w:pos="8306"/>
        </w:tabs>
      </w:pPr>
      <w:r>
        <w:fldChar w:fldCharType="begin"/>
      </w:r>
      <w:r>
        <w:instrText xml:space="preserve"> HYPERLINK \l _Toc11793 </w:instrText>
      </w:r>
      <w:r>
        <w:fldChar w:fldCharType="separate"/>
      </w:r>
      <w:r>
        <w:rPr>
          <w:rFonts w:hint="eastAsia" w:ascii="方正小标宋简体" w:hAnsi="方正小标宋简体" w:eastAsia="方正小标宋简体" w:cs="方正小标宋简体"/>
          <w:kern w:val="0"/>
        </w:rPr>
        <w:t>第二节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巩固提升生态环境质量</w:t>
      </w:r>
      <w:r>
        <w:tab/>
      </w:r>
      <w:r>
        <w:fldChar w:fldCharType="begin"/>
      </w:r>
      <w:r>
        <w:instrText xml:space="preserve"> PAGEREF _Toc11793 </w:instrText>
      </w:r>
      <w:r>
        <w:fldChar w:fldCharType="separate"/>
      </w:r>
      <w:r>
        <w:t>93</w:t>
      </w:r>
      <w:r>
        <w:fldChar w:fldCharType="end"/>
      </w:r>
      <w:r>
        <w:fldChar w:fldCharType="end"/>
      </w:r>
    </w:p>
    <w:p w14:paraId="47BF9197">
      <w:pPr>
        <w:pStyle w:val="14"/>
        <w:tabs>
          <w:tab w:val="right" w:leader="dot" w:pos="8306"/>
        </w:tabs>
      </w:pPr>
      <w:r>
        <w:fldChar w:fldCharType="begin"/>
      </w:r>
      <w:r>
        <w:instrText xml:space="preserve"> HYPERLINK \l _Toc14330 </w:instrText>
      </w:r>
      <w:r>
        <w:fldChar w:fldCharType="separate"/>
      </w:r>
      <w:r>
        <w:rPr>
          <w:rFonts w:hint="eastAsia" w:ascii="方正小标宋简体" w:hAnsi="方正小标宋简体" w:eastAsia="方正小标宋简体" w:cs="方正小标宋简体"/>
          <w:kern w:val="0"/>
        </w:rPr>
        <w:t>第三节  发展绿色低碳循环经济</w:t>
      </w:r>
      <w:r>
        <w:tab/>
      </w:r>
      <w:r>
        <w:fldChar w:fldCharType="begin"/>
      </w:r>
      <w:r>
        <w:instrText xml:space="preserve"> PAGEREF _Toc14330 </w:instrText>
      </w:r>
      <w:r>
        <w:fldChar w:fldCharType="separate"/>
      </w:r>
      <w:r>
        <w:t>96</w:t>
      </w:r>
      <w:r>
        <w:fldChar w:fldCharType="end"/>
      </w:r>
      <w:r>
        <w:fldChar w:fldCharType="end"/>
      </w:r>
    </w:p>
    <w:p w14:paraId="3BD0A54A">
      <w:pPr>
        <w:pStyle w:val="14"/>
        <w:tabs>
          <w:tab w:val="right" w:leader="dot" w:pos="8306"/>
        </w:tabs>
      </w:pPr>
      <w:r>
        <w:fldChar w:fldCharType="begin"/>
      </w:r>
      <w:r>
        <w:instrText xml:space="preserve"> HYPERLINK \l _Toc23970 </w:instrText>
      </w:r>
      <w:r>
        <w:fldChar w:fldCharType="separate"/>
      </w:r>
      <w:r>
        <w:rPr>
          <w:rFonts w:hint="eastAsia" w:ascii="方正小标宋简体" w:hAnsi="方正小标宋简体" w:eastAsia="方正小标宋简体" w:cs="方正小标宋简体"/>
          <w:kern w:val="0"/>
        </w:rPr>
        <w:t xml:space="preserve">第四节 </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完善生态环境保护体制机制</w:t>
      </w:r>
      <w:r>
        <w:tab/>
      </w:r>
      <w:r>
        <w:fldChar w:fldCharType="begin"/>
      </w:r>
      <w:r>
        <w:instrText xml:space="preserve"> PAGEREF _Toc23970 </w:instrText>
      </w:r>
      <w:r>
        <w:fldChar w:fldCharType="separate"/>
      </w:r>
      <w:r>
        <w:t>98</w:t>
      </w:r>
      <w:r>
        <w:fldChar w:fldCharType="end"/>
      </w:r>
      <w:r>
        <w:fldChar w:fldCharType="end"/>
      </w:r>
    </w:p>
    <w:p w14:paraId="0BC20C97">
      <w:pPr>
        <w:pStyle w:val="12"/>
        <w:tabs>
          <w:tab w:val="right" w:leader="dot" w:pos="8306"/>
        </w:tabs>
        <w:ind w:firstLine="420" w:firstLineChars="200"/>
      </w:pPr>
      <w:r>
        <w:fldChar w:fldCharType="begin"/>
      </w:r>
      <w:r>
        <w:instrText xml:space="preserve"> HYPERLINK \l _Toc6253 </w:instrText>
      </w:r>
      <w:r>
        <w:fldChar w:fldCharType="separate"/>
      </w:r>
      <w:r>
        <w:rPr>
          <w:rFonts w:hint="eastAsia" w:ascii="方正小标宋简体" w:hAnsi="方正小标宋简体" w:eastAsia="方正小标宋简体" w:cs="方正小标宋简体"/>
          <w:szCs w:val="36"/>
        </w:rPr>
        <w:t xml:space="preserve">第十一章 </w:t>
      </w:r>
      <w:r>
        <w:rPr>
          <w:rFonts w:ascii="方正小标宋简体" w:hAnsi="方正小标宋简体" w:eastAsia="方正小标宋简体" w:cs="方正小标宋简体"/>
          <w:szCs w:val="36"/>
        </w:rPr>
        <w:t xml:space="preserve"> </w:t>
      </w:r>
      <w:r>
        <w:rPr>
          <w:rFonts w:hint="eastAsia" w:ascii="方正小标宋简体" w:hAnsi="方正小标宋简体" w:eastAsia="方正小标宋简体" w:cs="方正小标宋简体"/>
          <w:szCs w:val="36"/>
        </w:rPr>
        <w:t>坚持改革创新</w:t>
      </w:r>
      <w:r>
        <w:rPr>
          <w:rFonts w:hint="eastAsia" w:ascii="方正小标宋简体" w:hAnsi="方正小标宋简体" w:eastAsia="方正小标宋简体" w:cs="方正小标宋简体"/>
          <w:szCs w:val="36"/>
          <w:lang w:val="en-US" w:eastAsia="zh-CN"/>
        </w:rPr>
        <w:t xml:space="preserve"> 高质量</w:t>
      </w:r>
      <w:r>
        <w:rPr>
          <w:rFonts w:hint="eastAsia" w:ascii="方正小标宋简体" w:hAnsi="方正小标宋简体" w:eastAsia="方正小标宋简体" w:cs="方正小标宋简体"/>
          <w:szCs w:val="36"/>
        </w:rPr>
        <w:t>激发县域发展活力</w:t>
      </w:r>
      <w:r>
        <w:tab/>
      </w:r>
      <w:r>
        <w:fldChar w:fldCharType="begin"/>
      </w:r>
      <w:r>
        <w:instrText xml:space="preserve"> PAGEREF _Toc6253 </w:instrText>
      </w:r>
      <w:r>
        <w:fldChar w:fldCharType="separate"/>
      </w:r>
      <w:r>
        <w:t>100</w:t>
      </w:r>
      <w:r>
        <w:fldChar w:fldCharType="end"/>
      </w:r>
      <w:r>
        <w:fldChar w:fldCharType="end"/>
      </w:r>
    </w:p>
    <w:p w14:paraId="2C270681">
      <w:pPr>
        <w:pStyle w:val="14"/>
        <w:tabs>
          <w:tab w:val="right" w:leader="dot" w:pos="8306"/>
        </w:tabs>
      </w:pPr>
      <w:r>
        <w:fldChar w:fldCharType="begin"/>
      </w:r>
      <w:r>
        <w:instrText xml:space="preserve"> HYPERLINK \l _Toc17142 </w:instrText>
      </w:r>
      <w:r>
        <w:fldChar w:fldCharType="separate"/>
      </w:r>
      <w:r>
        <w:rPr>
          <w:rFonts w:hint="eastAsia" w:ascii="方正小标宋简体" w:hAnsi="方正小标宋简体" w:eastAsia="方正小标宋简体" w:cs="方正小标宋简体"/>
          <w:kern w:val="0"/>
        </w:rPr>
        <w:t>第一节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全面深化改革</w:t>
      </w:r>
      <w:r>
        <w:tab/>
      </w:r>
      <w:r>
        <w:fldChar w:fldCharType="begin"/>
      </w:r>
      <w:r>
        <w:instrText xml:space="preserve"> PAGEREF _Toc17142 </w:instrText>
      </w:r>
      <w:r>
        <w:fldChar w:fldCharType="separate"/>
      </w:r>
      <w:r>
        <w:t>100</w:t>
      </w:r>
      <w:r>
        <w:fldChar w:fldCharType="end"/>
      </w:r>
      <w:r>
        <w:fldChar w:fldCharType="end"/>
      </w:r>
    </w:p>
    <w:p w14:paraId="1AF5A802">
      <w:pPr>
        <w:pStyle w:val="14"/>
        <w:tabs>
          <w:tab w:val="right" w:leader="dot" w:pos="8306"/>
        </w:tabs>
      </w:pPr>
      <w:r>
        <w:fldChar w:fldCharType="begin"/>
      </w:r>
      <w:r>
        <w:instrText xml:space="preserve"> HYPERLINK \l _Toc22539 </w:instrText>
      </w:r>
      <w:r>
        <w:fldChar w:fldCharType="separate"/>
      </w:r>
      <w:r>
        <w:rPr>
          <w:rFonts w:hint="eastAsia" w:ascii="方正小标宋简体" w:hAnsi="方正小标宋简体" w:eastAsia="方正小标宋简体" w:cs="方正小标宋简体"/>
          <w:kern w:val="0"/>
        </w:rPr>
        <w:t>第二节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提升政府治理效能</w:t>
      </w:r>
      <w:r>
        <w:rPr>
          <w:rFonts w:hint="eastAsia" w:ascii="方正小标宋简体" w:hAnsi="方正小标宋简体" w:eastAsia="方正小标宋简体" w:cs="方正小标宋简体"/>
          <w:kern w:val="0"/>
          <w:lang w:val="en-US" w:eastAsia="zh-CN"/>
        </w:rPr>
        <w:t xml:space="preserve">  </w:t>
      </w:r>
      <w:r>
        <w:rPr>
          <w:rFonts w:hint="eastAsia" w:ascii="方正小标宋简体" w:hAnsi="方正小标宋简体" w:eastAsia="方正小标宋简体" w:cs="方正小标宋简体"/>
          <w:kern w:val="0"/>
        </w:rPr>
        <w:t>激发各类市场主体活力</w:t>
      </w:r>
      <w:r>
        <w:tab/>
      </w:r>
      <w:r>
        <w:fldChar w:fldCharType="begin"/>
      </w:r>
      <w:r>
        <w:instrText xml:space="preserve"> PAGEREF _Toc22539 </w:instrText>
      </w:r>
      <w:r>
        <w:fldChar w:fldCharType="separate"/>
      </w:r>
      <w:r>
        <w:t>101</w:t>
      </w:r>
      <w:r>
        <w:fldChar w:fldCharType="end"/>
      </w:r>
      <w:r>
        <w:fldChar w:fldCharType="end"/>
      </w:r>
    </w:p>
    <w:p w14:paraId="52944320">
      <w:pPr>
        <w:pStyle w:val="14"/>
        <w:tabs>
          <w:tab w:val="right" w:leader="dot" w:pos="8306"/>
        </w:tabs>
      </w:pPr>
      <w:r>
        <w:fldChar w:fldCharType="begin"/>
      </w:r>
      <w:r>
        <w:instrText xml:space="preserve"> HYPERLINK \l _Toc10861 </w:instrText>
      </w:r>
      <w:r>
        <w:fldChar w:fldCharType="separate"/>
      </w:r>
      <w:r>
        <w:rPr>
          <w:rFonts w:hint="eastAsia" w:ascii="方正小标宋简体" w:hAnsi="方正小标宋简体" w:eastAsia="方正小标宋简体" w:cs="方正小标宋简体"/>
          <w:kern w:val="0"/>
        </w:rPr>
        <w:t>第三节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大力引进和培育创新人才</w:t>
      </w:r>
      <w:r>
        <w:tab/>
      </w:r>
      <w:r>
        <w:fldChar w:fldCharType="begin"/>
      </w:r>
      <w:r>
        <w:instrText xml:space="preserve"> PAGEREF _Toc10861 </w:instrText>
      </w:r>
      <w:r>
        <w:fldChar w:fldCharType="separate"/>
      </w:r>
      <w:r>
        <w:t>103</w:t>
      </w:r>
      <w:r>
        <w:fldChar w:fldCharType="end"/>
      </w:r>
      <w:r>
        <w:fldChar w:fldCharType="end"/>
      </w:r>
    </w:p>
    <w:p w14:paraId="3A0C6E08">
      <w:pPr>
        <w:pStyle w:val="14"/>
        <w:tabs>
          <w:tab w:val="right" w:leader="dot" w:pos="8306"/>
        </w:tabs>
      </w:pPr>
      <w:r>
        <w:fldChar w:fldCharType="begin"/>
      </w:r>
      <w:r>
        <w:instrText xml:space="preserve"> HYPERLINK \l _Toc20313 </w:instrText>
      </w:r>
      <w:r>
        <w:fldChar w:fldCharType="separate"/>
      </w:r>
      <w:r>
        <w:rPr>
          <w:rFonts w:hint="eastAsia" w:ascii="方正小标宋简体" w:hAnsi="方正小标宋简体" w:eastAsia="方正小标宋简体" w:cs="方正小标宋简体"/>
          <w:bCs/>
          <w:kern w:val="0"/>
          <w:szCs w:val="32"/>
        </w:rPr>
        <w:t>第</w:t>
      </w:r>
      <w:r>
        <w:rPr>
          <w:rFonts w:hint="eastAsia" w:ascii="方正小标宋简体" w:hAnsi="方正小标宋简体" w:eastAsia="方正小标宋简体" w:cs="方正小标宋简体"/>
          <w:bCs/>
          <w:kern w:val="0"/>
          <w:szCs w:val="32"/>
          <w:lang w:val="en-US" w:eastAsia="zh-CN"/>
        </w:rPr>
        <w:t>四</w:t>
      </w:r>
      <w:r>
        <w:rPr>
          <w:rFonts w:hint="eastAsia" w:ascii="方正小标宋简体" w:hAnsi="方正小标宋简体" w:eastAsia="方正小标宋简体" w:cs="方正小标宋简体"/>
          <w:bCs/>
          <w:kern w:val="0"/>
          <w:szCs w:val="32"/>
        </w:rPr>
        <w:t>节  健全完善创新体制机制</w:t>
      </w:r>
      <w:r>
        <w:tab/>
      </w:r>
      <w:r>
        <w:fldChar w:fldCharType="begin"/>
      </w:r>
      <w:r>
        <w:instrText xml:space="preserve"> PAGEREF _Toc20313 </w:instrText>
      </w:r>
      <w:r>
        <w:fldChar w:fldCharType="separate"/>
      </w:r>
      <w:r>
        <w:t>104</w:t>
      </w:r>
      <w:r>
        <w:fldChar w:fldCharType="end"/>
      </w:r>
      <w:r>
        <w:fldChar w:fldCharType="end"/>
      </w:r>
    </w:p>
    <w:p w14:paraId="1F1563A0">
      <w:pPr>
        <w:pStyle w:val="12"/>
        <w:tabs>
          <w:tab w:val="right" w:leader="dot" w:pos="8306"/>
        </w:tabs>
        <w:ind w:firstLine="420" w:firstLineChars="200"/>
      </w:pPr>
      <w:r>
        <w:fldChar w:fldCharType="begin"/>
      </w:r>
      <w:r>
        <w:instrText xml:space="preserve"> HYPERLINK \l _Toc22928 </w:instrText>
      </w:r>
      <w:r>
        <w:fldChar w:fldCharType="separate"/>
      </w:r>
      <w:r>
        <w:rPr>
          <w:rFonts w:hint="eastAsia" w:ascii="方正小标宋简体" w:hAnsi="方正小标宋简体" w:eastAsia="方正小标宋简体" w:cs="方正小标宋简体"/>
          <w:szCs w:val="36"/>
        </w:rPr>
        <w:t xml:space="preserve">第十二章 </w:t>
      </w:r>
      <w:r>
        <w:rPr>
          <w:rFonts w:ascii="方正小标宋简体" w:hAnsi="方正小标宋简体" w:eastAsia="方正小标宋简体" w:cs="方正小标宋简体"/>
          <w:szCs w:val="36"/>
        </w:rPr>
        <w:t xml:space="preserve"> </w:t>
      </w:r>
      <w:r>
        <w:rPr>
          <w:rFonts w:hint="eastAsia" w:ascii="方正小标宋简体" w:hAnsi="方正小标宋简体" w:eastAsia="方正小标宋简体" w:cs="方正小标宋简体"/>
          <w:szCs w:val="36"/>
          <w:lang w:val="en-US" w:eastAsia="zh-CN"/>
        </w:rPr>
        <w:t>繁荣文化事业 高质量</w:t>
      </w:r>
      <w:r>
        <w:rPr>
          <w:rFonts w:hint="eastAsia" w:ascii="方正小标宋简体" w:hAnsi="方正小标宋简体" w:eastAsia="方正小标宋简体" w:cs="方正小标宋简体"/>
          <w:szCs w:val="36"/>
        </w:rPr>
        <w:t>增强县域文化软实力</w:t>
      </w:r>
      <w:r>
        <w:tab/>
      </w:r>
      <w:r>
        <w:fldChar w:fldCharType="begin"/>
      </w:r>
      <w:r>
        <w:instrText xml:space="preserve"> PAGEREF _Toc22928 </w:instrText>
      </w:r>
      <w:r>
        <w:fldChar w:fldCharType="separate"/>
      </w:r>
      <w:r>
        <w:t>106</w:t>
      </w:r>
      <w:r>
        <w:fldChar w:fldCharType="end"/>
      </w:r>
      <w:r>
        <w:fldChar w:fldCharType="end"/>
      </w:r>
    </w:p>
    <w:p w14:paraId="474DAE53">
      <w:pPr>
        <w:pStyle w:val="14"/>
        <w:tabs>
          <w:tab w:val="right" w:leader="dot" w:pos="8306"/>
        </w:tabs>
      </w:pPr>
      <w:r>
        <w:fldChar w:fldCharType="begin"/>
      </w:r>
      <w:r>
        <w:instrText xml:space="preserve"> HYPERLINK \l _Toc10344 </w:instrText>
      </w:r>
      <w:r>
        <w:fldChar w:fldCharType="separate"/>
      </w:r>
      <w:r>
        <w:rPr>
          <w:rFonts w:hint="eastAsia" w:ascii="方正小标宋简体" w:hAnsi="方正小标宋简体" w:eastAsia="方正小标宋简体" w:cs="方正小标宋简体"/>
          <w:bCs/>
          <w:szCs w:val="32"/>
        </w:rPr>
        <w:t>第一节  提高社会文明程度</w:t>
      </w:r>
      <w:r>
        <w:tab/>
      </w:r>
      <w:r>
        <w:fldChar w:fldCharType="begin"/>
      </w:r>
      <w:r>
        <w:instrText xml:space="preserve"> PAGEREF _Toc10344 </w:instrText>
      </w:r>
      <w:r>
        <w:fldChar w:fldCharType="separate"/>
      </w:r>
      <w:r>
        <w:t>106</w:t>
      </w:r>
      <w:r>
        <w:fldChar w:fldCharType="end"/>
      </w:r>
      <w:r>
        <w:fldChar w:fldCharType="end"/>
      </w:r>
    </w:p>
    <w:p w14:paraId="04EB903B">
      <w:pPr>
        <w:pStyle w:val="14"/>
        <w:tabs>
          <w:tab w:val="right" w:leader="dot" w:pos="8306"/>
        </w:tabs>
      </w:pPr>
      <w:r>
        <w:fldChar w:fldCharType="begin"/>
      </w:r>
      <w:r>
        <w:instrText xml:space="preserve"> HYPERLINK \l _Toc10776 </w:instrText>
      </w:r>
      <w:r>
        <w:fldChar w:fldCharType="separate"/>
      </w:r>
      <w:r>
        <w:rPr>
          <w:rFonts w:hint="eastAsia" w:ascii="方正小标宋简体" w:hAnsi="方正小标宋简体" w:eastAsia="方正小标宋简体" w:cs="方正小标宋简体"/>
          <w:bCs/>
          <w:szCs w:val="32"/>
        </w:rPr>
        <w:t>第二节  推进红色文化传承创新</w:t>
      </w:r>
      <w:r>
        <w:tab/>
      </w:r>
      <w:r>
        <w:fldChar w:fldCharType="begin"/>
      </w:r>
      <w:r>
        <w:instrText xml:space="preserve"> PAGEREF _Toc10776 </w:instrText>
      </w:r>
      <w:r>
        <w:fldChar w:fldCharType="separate"/>
      </w:r>
      <w:r>
        <w:t>107</w:t>
      </w:r>
      <w:r>
        <w:fldChar w:fldCharType="end"/>
      </w:r>
      <w:r>
        <w:fldChar w:fldCharType="end"/>
      </w:r>
    </w:p>
    <w:p w14:paraId="38062326">
      <w:pPr>
        <w:pStyle w:val="14"/>
        <w:tabs>
          <w:tab w:val="right" w:leader="dot" w:pos="8306"/>
        </w:tabs>
      </w:pPr>
      <w:r>
        <w:fldChar w:fldCharType="begin"/>
      </w:r>
      <w:r>
        <w:instrText xml:space="preserve"> HYPERLINK \l _Toc30292 </w:instrText>
      </w:r>
      <w:r>
        <w:fldChar w:fldCharType="separate"/>
      </w:r>
      <w:r>
        <w:rPr>
          <w:rFonts w:hint="eastAsia" w:ascii="方正小标宋简体" w:hAnsi="方正小标宋简体" w:eastAsia="方正小标宋简体" w:cs="方正小标宋简体"/>
          <w:bCs/>
          <w:szCs w:val="32"/>
        </w:rPr>
        <w:t>第三节  优化城乡文化资源配置</w:t>
      </w:r>
      <w:r>
        <w:tab/>
      </w:r>
      <w:r>
        <w:fldChar w:fldCharType="begin"/>
      </w:r>
      <w:r>
        <w:instrText xml:space="preserve"> PAGEREF _Toc30292 </w:instrText>
      </w:r>
      <w:r>
        <w:fldChar w:fldCharType="separate"/>
      </w:r>
      <w:r>
        <w:t>108</w:t>
      </w:r>
      <w:r>
        <w:fldChar w:fldCharType="end"/>
      </w:r>
      <w:r>
        <w:fldChar w:fldCharType="end"/>
      </w:r>
    </w:p>
    <w:p w14:paraId="61363258">
      <w:pPr>
        <w:pStyle w:val="14"/>
        <w:tabs>
          <w:tab w:val="right" w:leader="dot" w:pos="8306"/>
        </w:tabs>
      </w:pPr>
      <w:r>
        <w:fldChar w:fldCharType="begin"/>
      </w:r>
      <w:r>
        <w:instrText xml:space="preserve"> HYPERLINK \l _Toc2536 </w:instrText>
      </w:r>
      <w:r>
        <w:fldChar w:fldCharType="separate"/>
      </w:r>
      <w:r>
        <w:rPr>
          <w:rFonts w:hint="eastAsia" w:ascii="方正小标宋简体" w:hAnsi="方正小标宋简体" w:eastAsia="方正小标宋简体" w:cs="方正小标宋简体"/>
          <w:bCs/>
          <w:szCs w:val="32"/>
        </w:rPr>
        <w:t xml:space="preserve">第四节  </w:t>
      </w:r>
      <w:r>
        <w:rPr>
          <w:rFonts w:ascii="方正小标宋简体" w:hAnsi="方正小标宋简体" w:eastAsia="方正小标宋简体" w:cs="方正小标宋简体"/>
          <w:bCs/>
          <w:szCs w:val="32"/>
        </w:rPr>
        <w:t>升级公共文化服务供给</w:t>
      </w:r>
      <w:r>
        <w:tab/>
      </w:r>
      <w:r>
        <w:fldChar w:fldCharType="begin"/>
      </w:r>
      <w:r>
        <w:instrText xml:space="preserve"> PAGEREF _Toc2536 </w:instrText>
      </w:r>
      <w:r>
        <w:fldChar w:fldCharType="separate"/>
      </w:r>
      <w:r>
        <w:t>109</w:t>
      </w:r>
      <w:r>
        <w:fldChar w:fldCharType="end"/>
      </w:r>
      <w:r>
        <w:fldChar w:fldCharType="end"/>
      </w:r>
    </w:p>
    <w:p w14:paraId="2034E6DC">
      <w:pPr>
        <w:pStyle w:val="14"/>
        <w:tabs>
          <w:tab w:val="right" w:leader="dot" w:pos="8306"/>
        </w:tabs>
      </w:pPr>
      <w:r>
        <w:fldChar w:fldCharType="begin"/>
      </w:r>
      <w:r>
        <w:instrText xml:space="preserve"> HYPERLINK \l _Toc25026 </w:instrText>
      </w:r>
      <w:r>
        <w:fldChar w:fldCharType="separate"/>
      </w:r>
      <w:r>
        <w:rPr>
          <w:rFonts w:hint="eastAsia" w:ascii="方正小标宋简体" w:hAnsi="方正小标宋简体" w:eastAsia="方正小标宋简体" w:cs="方正小标宋简体"/>
          <w:bCs/>
          <w:szCs w:val="32"/>
        </w:rPr>
        <w:t>第</w:t>
      </w:r>
      <w:r>
        <w:rPr>
          <w:rFonts w:ascii="方正小标宋简体" w:hAnsi="方正小标宋简体" w:eastAsia="方正小标宋简体" w:cs="方正小标宋简体"/>
          <w:bCs/>
          <w:szCs w:val="32"/>
        </w:rPr>
        <w:t>五</w:t>
      </w:r>
      <w:r>
        <w:rPr>
          <w:rFonts w:hint="eastAsia" w:ascii="方正小标宋简体" w:hAnsi="方正小标宋简体" w:eastAsia="方正小标宋简体" w:cs="方正小标宋简体"/>
          <w:bCs/>
          <w:szCs w:val="32"/>
        </w:rPr>
        <w:t>节</w:t>
      </w:r>
      <w:r>
        <w:rPr>
          <w:rFonts w:hint="eastAsia" w:ascii="方正小标宋简体" w:hAnsi="方正小标宋简体" w:eastAsia="方正小标宋简体" w:cs="方正小标宋简体"/>
          <w:bCs/>
          <w:szCs w:val="32"/>
          <w:lang w:val="en-US" w:eastAsia="zh-CN"/>
        </w:rPr>
        <w:t xml:space="preserve"> </w:t>
      </w:r>
      <w:r>
        <w:rPr>
          <w:rFonts w:hint="eastAsia" w:ascii="方正小标宋简体" w:hAnsi="方正小标宋简体" w:eastAsia="方正小标宋简体" w:cs="方正小标宋简体"/>
          <w:bCs/>
          <w:szCs w:val="32"/>
        </w:rPr>
        <w:t xml:space="preserve"> 健全现代文化产业体系</w:t>
      </w:r>
      <w:r>
        <w:tab/>
      </w:r>
      <w:r>
        <w:fldChar w:fldCharType="begin"/>
      </w:r>
      <w:r>
        <w:instrText xml:space="preserve"> PAGEREF _Toc25026 </w:instrText>
      </w:r>
      <w:r>
        <w:fldChar w:fldCharType="separate"/>
      </w:r>
      <w:r>
        <w:t>110</w:t>
      </w:r>
      <w:r>
        <w:fldChar w:fldCharType="end"/>
      </w:r>
      <w:r>
        <w:fldChar w:fldCharType="end"/>
      </w:r>
    </w:p>
    <w:p w14:paraId="50A2DC45">
      <w:pPr>
        <w:pStyle w:val="12"/>
        <w:tabs>
          <w:tab w:val="right" w:leader="dot" w:pos="8306"/>
        </w:tabs>
        <w:ind w:firstLine="420" w:firstLineChars="200"/>
      </w:pPr>
      <w:r>
        <w:fldChar w:fldCharType="begin"/>
      </w:r>
      <w:r>
        <w:instrText xml:space="preserve"> HYPERLINK \l _Toc28701 </w:instrText>
      </w:r>
      <w:r>
        <w:fldChar w:fldCharType="separate"/>
      </w:r>
      <w:r>
        <w:rPr>
          <w:rFonts w:hint="eastAsia" w:ascii="方正小标宋简体" w:hAnsi="方正小标宋简体" w:eastAsia="方正小标宋简体" w:cs="方正小标宋简体"/>
          <w:szCs w:val="36"/>
        </w:rPr>
        <w:t>第十三章</w:t>
      </w:r>
      <w:r>
        <w:rPr>
          <w:rFonts w:ascii="方正小标宋简体" w:hAnsi="方正小标宋简体" w:eastAsia="方正小标宋简体" w:cs="方正小标宋简体"/>
          <w:szCs w:val="36"/>
        </w:rPr>
        <w:t xml:space="preserve">  </w:t>
      </w:r>
      <w:r>
        <w:rPr>
          <w:rFonts w:hint="eastAsia" w:ascii="方正小标宋简体" w:hAnsi="方正小标宋简体" w:eastAsia="方正小标宋简体" w:cs="方正小标宋简体"/>
          <w:szCs w:val="36"/>
        </w:rPr>
        <w:t>坚持以人民为中心</w:t>
      </w:r>
      <w:r>
        <w:rPr>
          <w:rFonts w:hint="eastAsia" w:ascii="方正小标宋简体" w:hAnsi="方正小标宋简体" w:eastAsia="方正小标宋简体" w:cs="方正小标宋简体"/>
          <w:szCs w:val="36"/>
          <w:lang w:val="en-US" w:eastAsia="zh-CN"/>
        </w:rPr>
        <w:t xml:space="preserve">  高质量</w:t>
      </w:r>
      <w:r>
        <w:rPr>
          <w:rFonts w:hint="eastAsia" w:ascii="方正小标宋简体" w:hAnsi="方正小标宋简体" w:eastAsia="方正小标宋简体" w:cs="方正小标宋简体"/>
          <w:szCs w:val="36"/>
        </w:rPr>
        <w:t>提升人民群众生活品质</w:t>
      </w:r>
      <w:r>
        <w:tab/>
      </w:r>
      <w:r>
        <w:fldChar w:fldCharType="begin"/>
      </w:r>
      <w:r>
        <w:instrText xml:space="preserve"> PAGEREF _Toc28701 </w:instrText>
      </w:r>
      <w:r>
        <w:fldChar w:fldCharType="separate"/>
      </w:r>
      <w:r>
        <w:t>111</w:t>
      </w:r>
      <w:r>
        <w:fldChar w:fldCharType="end"/>
      </w:r>
      <w:r>
        <w:fldChar w:fldCharType="end"/>
      </w:r>
    </w:p>
    <w:p w14:paraId="609EFF2D">
      <w:pPr>
        <w:pStyle w:val="14"/>
        <w:tabs>
          <w:tab w:val="right" w:leader="dot" w:pos="8306"/>
        </w:tabs>
      </w:pPr>
      <w:r>
        <w:fldChar w:fldCharType="begin"/>
      </w:r>
      <w:r>
        <w:instrText xml:space="preserve"> HYPERLINK \l _Toc23106 </w:instrText>
      </w:r>
      <w:r>
        <w:fldChar w:fldCharType="separate"/>
      </w:r>
      <w:r>
        <w:rPr>
          <w:rFonts w:hint="eastAsia" w:ascii="方正小标宋简体" w:hAnsi="方正小标宋简体" w:eastAsia="方正小标宋简体" w:cs="方正小标宋简体"/>
          <w:kern w:val="0"/>
        </w:rPr>
        <w:t>第一节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强化就业优先政策</w:t>
      </w:r>
      <w:r>
        <w:tab/>
      </w:r>
      <w:r>
        <w:fldChar w:fldCharType="begin"/>
      </w:r>
      <w:r>
        <w:instrText xml:space="preserve"> PAGEREF _Toc23106 </w:instrText>
      </w:r>
      <w:r>
        <w:fldChar w:fldCharType="separate"/>
      </w:r>
      <w:r>
        <w:t>111</w:t>
      </w:r>
      <w:r>
        <w:fldChar w:fldCharType="end"/>
      </w:r>
      <w:r>
        <w:fldChar w:fldCharType="end"/>
      </w:r>
    </w:p>
    <w:p w14:paraId="65D0A527">
      <w:pPr>
        <w:pStyle w:val="14"/>
        <w:tabs>
          <w:tab w:val="right" w:leader="dot" w:pos="8306"/>
        </w:tabs>
      </w:pPr>
      <w:r>
        <w:fldChar w:fldCharType="begin"/>
      </w:r>
      <w:r>
        <w:instrText xml:space="preserve"> HYPERLINK \l _Toc5989 </w:instrText>
      </w:r>
      <w:r>
        <w:fldChar w:fldCharType="separate"/>
      </w:r>
      <w:r>
        <w:rPr>
          <w:rFonts w:hint="eastAsia" w:ascii="方正小标宋简体" w:hAnsi="方正小标宋简体" w:eastAsia="方正小标宋简体" w:cs="方正小标宋简体"/>
          <w:kern w:val="0"/>
        </w:rPr>
        <w:t>第二节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坚持教育优先发展</w:t>
      </w:r>
      <w:r>
        <w:tab/>
      </w:r>
      <w:r>
        <w:fldChar w:fldCharType="begin"/>
      </w:r>
      <w:r>
        <w:instrText xml:space="preserve"> PAGEREF _Toc5989 </w:instrText>
      </w:r>
      <w:r>
        <w:fldChar w:fldCharType="separate"/>
      </w:r>
      <w:r>
        <w:t>113</w:t>
      </w:r>
      <w:r>
        <w:fldChar w:fldCharType="end"/>
      </w:r>
      <w:r>
        <w:fldChar w:fldCharType="end"/>
      </w:r>
    </w:p>
    <w:p w14:paraId="3D9030A9">
      <w:pPr>
        <w:pStyle w:val="14"/>
        <w:tabs>
          <w:tab w:val="right" w:leader="dot" w:pos="8306"/>
        </w:tabs>
      </w:pPr>
      <w:r>
        <w:fldChar w:fldCharType="begin"/>
      </w:r>
      <w:r>
        <w:instrText xml:space="preserve"> HYPERLINK \l _Toc31673 </w:instrText>
      </w:r>
      <w:r>
        <w:fldChar w:fldCharType="separate"/>
      </w:r>
      <w:r>
        <w:rPr>
          <w:rFonts w:hint="eastAsia" w:ascii="方正小标宋简体" w:hAnsi="方正小标宋简体" w:eastAsia="方正小标宋简体" w:cs="方正小标宋简体"/>
          <w:kern w:val="0"/>
        </w:rPr>
        <w:t>第三节  全面推进健康息烽建设</w:t>
      </w:r>
      <w:r>
        <w:tab/>
      </w:r>
      <w:r>
        <w:fldChar w:fldCharType="begin"/>
      </w:r>
      <w:r>
        <w:instrText xml:space="preserve"> PAGEREF _Toc31673 </w:instrText>
      </w:r>
      <w:r>
        <w:fldChar w:fldCharType="separate"/>
      </w:r>
      <w:r>
        <w:t>115</w:t>
      </w:r>
      <w:r>
        <w:fldChar w:fldCharType="end"/>
      </w:r>
      <w:r>
        <w:fldChar w:fldCharType="end"/>
      </w:r>
    </w:p>
    <w:p w14:paraId="60DF8F90">
      <w:pPr>
        <w:pStyle w:val="14"/>
        <w:tabs>
          <w:tab w:val="right" w:leader="dot" w:pos="8306"/>
        </w:tabs>
      </w:pPr>
      <w:r>
        <w:fldChar w:fldCharType="begin"/>
      </w:r>
      <w:r>
        <w:instrText xml:space="preserve"> HYPERLINK \l _Toc4171 </w:instrText>
      </w:r>
      <w:r>
        <w:fldChar w:fldCharType="separate"/>
      </w:r>
      <w:r>
        <w:rPr>
          <w:rFonts w:hint="eastAsia" w:ascii="方正小标宋简体" w:hAnsi="方正小标宋简体" w:eastAsia="方正小标宋简体" w:cs="方正小标宋简体"/>
          <w:kern w:val="0"/>
        </w:rPr>
        <w:t>第四节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建设多层次社会保障体系</w:t>
      </w:r>
      <w:r>
        <w:tab/>
      </w:r>
      <w:r>
        <w:fldChar w:fldCharType="begin"/>
      </w:r>
      <w:r>
        <w:instrText xml:space="preserve"> PAGEREF _Toc4171 </w:instrText>
      </w:r>
      <w:r>
        <w:fldChar w:fldCharType="separate"/>
      </w:r>
      <w:r>
        <w:t>117</w:t>
      </w:r>
      <w:r>
        <w:fldChar w:fldCharType="end"/>
      </w:r>
      <w:r>
        <w:fldChar w:fldCharType="end"/>
      </w:r>
    </w:p>
    <w:p w14:paraId="05FAEB72">
      <w:pPr>
        <w:pStyle w:val="14"/>
        <w:tabs>
          <w:tab w:val="right" w:leader="dot" w:pos="8306"/>
        </w:tabs>
      </w:pPr>
      <w:r>
        <w:fldChar w:fldCharType="begin"/>
      </w:r>
      <w:r>
        <w:instrText xml:space="preserve"> HYPERLINK \l _Toc4508 </w:instrText>
      </w:r>
      <w:r>
        <w:fldChar w:fldCharType="separate"/>
      </w:r>
      <w:r>
        <w:rPr>
          <w:rFonts w:hint="eastAsia" w:ascii="方正小标宋简体" w:hAnsi="方正小标宋简体" w:eastAsia="方正小标宋简体" w:cs="方正小标宋简体"/>
          <w:kern w:val="0"/>
        </w:rPr>
        <w:t xml:space="preserve">第五节 </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提高人民收入水平</w:t>
      </w:r>
      <w:r>
        <w:tab/>
      </w:r>
      <w:r>
        <w:fldChar w:fldCharType="begin"/>
      </w:r>
      <w:r>
        <w:instrText xml:space="preserve"> PAGEREF _Toc4508 </w:instrText>
      </w:r>
      <w:r>
        <w:fldChar w:fldCharType="separate"/>
      </w:r>
      <w:r>
        <w:t>121</w:t>
      </w:r>
      <w:r>
        <w:fldChar w:fldCharType="end"/>
      </w:r>
      <w:r>
        <w:fldChar w:fldCharType="end"/>
      </w:r>
    </w:p>
    <w:p w14:paraId="222BFA2B">
      <w:pPr>
        <w:pStyle w:val="12"/>
        <w:tabs>
          <w:tab w:val="right" w:leader="dot" w:pos="8306"/>
        </w:tabs>
        <w:ind w:firstLine="420" w:firstLineChars="200"/>
      </w:pPr>
      <w:r>
        <w:fldChar w:fldCharType="begin"/>
      </w:r>
      <w:r>
        <w:instrText xml:space="preserve"> HYPERLINK \l _Toc6744 </w:instrText>
      </w:r>
      <w:r>
        <w:fldChar w:fldCharType="separate"/>
      </w:r>
      <w:r>
        <w:rPr>
          <w:rFonts w:hint="eastAsia" w:ascii="方正小标宋简体" w:hAnsi="方正小标宋简体" w:eastAsia="方正小标宋简体" w:cs="方正小标宋简体"/>
          <w:szCs w:val="36"/>
        </w:rPr>
        <w:t xml:space="preserve">第十四章 </w:t>
      </w:r>
      <w:r>
        <w:rPr>
          <w:rFonts w:ascii="方正小标宋简体" w:hAnsi="方正小标宋简体" w:eastAsia="方正小标宋简体" w:cs="方正小标宋简体"/>
          <w:szCs w:val="36"/>
        </w:rPr>
        <w:t xml:space="preserve"> </w:t>
      </w:r>
      <w:r>
        <w:rPr>
          <w:rFonts w:hint="eastAsia" w:ascii="方正小标宋简体" w:hAnsi="方正小标宋简体" w:eastAsia="方正小标宋简体" w:cs="方正小标宋简体"/>
          <w:szCs w:val="36"/>
        </w:rPr>
        <w:t>统筹发展和安全</w:t>
      </w:r>
      <w:r>
        <w:rPr>
          <w:rFonts w:hint="eastAsia" w:ascii="方正小标宋简体" w:hAnsi="方正小标宋简体" w:eastAsia="方正小标宋简体" w:cs="方正小标宋简体"/>
          <w:szCs w:val="36"/>
          <w:lang w:val="en-US" w:eastAsia="zh-CN"/>
        </w:rPr>
        <w:t xml:space="preserve"> 高质量</w:t>
      </w:r>
      <w:r>
        <w:rPr>
          <w:rFonts w:hint="eastAsia" w:ascii="方正小标宋简体" w:hAnsi="方正小标宋简体" w:eastAsia="方正小标宋简体" w:cs="方正小标宋简体"/>
          <w:szCs w:val="36"/>
        </w:rPr>
        <w:t>建设更高水平平安息烽</w:t>
      </w:r>
      <w:r>
        <w:tab/>
      </w:r>
      <w:r>
        <w:fldChar w:fldCharType="begin"/>
      </w:r>
      <w:r>
        <w:instrText xml:space="preserve"> PAGEREF _Toc6744 </w:instrText>
      </w:r>
      <w:r>
        <w:fldChar w:fldCharType="separate"/>
      </w:r>
      <w:r>
        <w:t>122</w:t>
      </w:r>
      <w:r>
        <w:fldChar w:fldCharType="end"/>
      </w:r>
      <w:r>
        <w:fldChar w:fldCharType="end"/>
      </w:r>
    </w:p>
    <w:p w14:paraId="2BBE449B">
      <w:pPr>
        <w:pStyle w:val="14"/>
        <w:tabs>
          <w:tab w:val="right" w:leader="dot" w:pos="8306"/>
        </w:tabs>
      </w:pPr>
      <w:r>
        <w:fldChar w:fldCharType="begin"/>
      </w:r>
      <w:r>
        <w:instrText xml:space="preserve"> HYPERLINK \l _Toc26056 </w:instrText>
      </w:r>
      <w:r>
        <w:fldChar w:fldCharType="separate"/>
      </w:r>
      <w:r>
        <w:rPr>
          <w:rFonts w:hint="eastAsia" w:ascii="方正小标宋简体" w:hAnsi="方正小标宋简体" w:eastAsia="方正小标宋简体" w:cs="方正小标宋简体"/>
          <w:kern w:val="0"/>
        </w:rPr>
        <w:t>第一节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全力防范化解重大风险</w:t>
      </w:r>
      <w:r>
        <w:tab/>
      </w:r>
      <w:r>
        <w:fldChar w:fldCharType="begin"/>
      </w:r>
      <w:r>
        <w:instrText xml:space="preserve"> PAGEREF _Toc26056 </w:instrText>
      </w:r>
      <w:r>
        <w:fldChar w:fldCharType="separate"/>
      </w:r>
      <w:r>
        <w:t>122</w:t>
      </w:r>
      <w:r>
        <w:fldChar w:fldCharType="end"/>
      </w:r>
      <w:r>
        <w:fldChar w:fldCharType="end"/>
      </w:r>
    </w:p>
    <w:p w14:paraId="6175E94B">
      <w:pPr>
        <w:pStyle w:val="14"/>
        <w:tabs>
          <w:tab w:val="right" w:leader="dot" w:pos="8306"/>
        </w:tabs>
      </w:pPr>
      <w:r>
        <w:fldChar w:fldCharType="begin"/>
      </w:r>
      <w:r>
        <w:instrText xml:space="preserve"> HYPERLINK \l _Toc28546 </w:instrText>
      </w:r>
      <w:r>
        <w:fldChar w:fldCharType="separate"/>
      </w:r>
      <w:r>
        <w:rPr>
          <w:rFonts w:hint="eastAsia" w:ascii="方正小标宋简体" w:hAnsi="方正小标宋简体" w:eastAsia="方正小标宋简体" w:cs="方正小标宋简体"/>
          <w:kern w:val="0"/>
        </w:rPr>
        <w:t>第二节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加快建设法治息烽</w:t>
      </w:r>
      <w:r>
        <w:tab/>
      </w:r>
      <w:r>
        <w:fldChar w:fldCharType="begin"/>
      </w:r>
      <w:r>
        <w:instrText xml:space="preserve"> PAGEREF _Toc28546 </w:instrText>
      </w:r>
      <w:r>
        <w:fldChar w:fldCharType="separate"/>
      </w:r>
      <w:r>
        <w:t>123</w:t>
      </w:r>
      <w:r>
        <w:fldChar w:fldCharType="end"/>
      </w:r>
      <w:r>
        <w:fldChar w:fldCharType="end"/>
      </w:r>
    </w:p>
    <w:p w14:paraId="6A663C4E">
      <w:pPr>
        <w:pStyle w:val="14"/>
        <w:tabs>
          <w:tab w:val="right" w:leader="dot" w:pos="8306"/>
        </w:tabs>
      </w:pPr>
      <w:r>
        <w:fldChar w:fldCharType="begin"/>
      </w:r>
      <w:r>
        <w:instrText xml:space="preserve"> HYPERLINK \l _Toc30569 </w:instrText>
      </w:r>
      <w:r>
        <w:fldChar w:fldCharType="separate"/>
      </w:r>
      <w:r>
        <w:rPr>
          <w:rFonts w:hint="eastAsia" w:ascii="方正小标宋简体" w:hAnsi="方正小标宋简体" w:eastAsia="方正小标宋简体" w:cs="方正小标宋简体"/>
          <w:kern w:val="0"/>
        </w:rPr>
        <w:t>第三节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强化国防和“双拥”共建</w:t>
      </w:r>
      <w:r>
        <w:tab/>
      </w:r>
      <w:r>
        <w:fldChar w:fldCharType="begin"/>
      </w:r>
      <w:r>
        <w:instrText xml:space="preserve"> PAGEREF _Toc30569 </w:instrText>
      </w:r>
      <w:r>
        <w:fldChar w:fldCharType="separate"/>
      </w:r>
      <w:r>
        <w:t>125</w:t>
      </w:r>
      <w:r>
        <w:fldChar w:fldCharType="end"/>
      </w:r>
      <w:r>
        <w:fldChar w:fldCharType="end"/>
      </w:r>
    </w:p>
    <w:p w14:paraId="264044A7">
      <w:pPr>
        <w:pStyle w:val="14"/>
        <w:tabs>
          <w:tab w:val="right" w:leader="dot" w:pos="8306"/>
        </w:tabs>
      </w:pPr>
      <w:r>
        <w:fldChar w:fldCharType="begin"/>
      </w:r>
      <w:r>
        <w:instrText xml:space="preserve"> HYPERLINK \l _Toc29919 </w:instrText>
      </w:r>
      <w:r>
        <w:fldChar w:fldCharType="separate"/>
      </w:r>
      <w:r>
        <w:rPr>
          <w:rFonts w:hint="eastAsia" w:ascii="方正小标宋简体" w:hAnsi="方正小标宋简体" w:eastAsia="方正小标宋简体" w:cs="方正小标宋简体"/>
          <w:kern w:val="0"/>
        </w:rPr>
        <w:t>第四节</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增强突发事件应急管理能力</w:t>
      </w:r>
      <w:r>
        <w:tab/>
      </w:r>
      <w:r>
        <w:fldChar w:fldCharType="begin"/>
      </w:r>
      <w:r>
        <w:instrText xml:space="preserve"> PAGEREF _Toc29919 </w:instrText>
      </w:r>
      <w:r>
        <w:fldChar w:fldCharType="separate"/>
      </w:r>
      <w:r>
        <w:t>126</w:t>
      </w:r>
      <w:r>
        <w:fldChar w:fldCharType="end"/>
      </w:r>
      <w:r>
        <w:fldChar w:fldCharType="end"/>
      </w:r>
    </w:p>
    <w:p w14:paraId="1485EB9D">
      <w:pPr>
        <w:pStyle w:val="12"/>
        <w:tabs>
          <w:tab w:val="right" w:leader="dot" w:pos="8306"/>
        </w:tabs>
        <w:ind w:firstLine="420" w:firstLineChars="200"/>
      </w:pPr>
      <w:r>
        <w:fldChar w:fldCharType="begin"/>
      </w:r>
      <w:r>
        <w:instrText xml:space="preserve"> HYPERLINK \l _Toc28583 </w:instrText>
      </w:r>
      <w:r>
        <w:fldChar w:fldCharType="separate"/>
      </w:r>
      <w:r>
        <w:rPr>
          <w:rFonts w:hint="eastAsia" w:ascii="方正小标宋简体" w:hAnsi="方正小标宋简体" w:eastAsia="方正小标宋简体" w:cs="方正小标宋简体"/>
          <w:szCs w:val="36"/>
        </w:rPr>
        <w:t xml:space="preserve">第十五章 </w:t>
      </w:r>
      <w:r>
        <w:rPr>
          <w:rFonts w:ascii="方正小标宋简体" w:hAnsi="方正小标宋简体" w:eastAsia="方正小标宋简体" w:cs="方正小标宋简体"/>
          <w:szCs w:val="36"/>
        </w:rPr>
        <w:t xml:space="preserve"> </w:t>
      </w:r>
      <w:r>
        <w:rPr>
          <w:rFonts w:hint="eastAsia" w:ascii="方正小标宋简体" w:hAnsi="方正小标宋简体" w:eastAsia="方正小标宋简体" w:cs="方正小标宋简体"/>
          <w:szCs w:val="36"/>
        </w:rPr>
        <w:t>坚持党的全面领导</w:t>
      </w:r>
      <w:r>
        <w:rPr>
          <w:rFonts w:hint="eastAsia" w:ascii="方正小标宋简体" w:hAnsi="方正小标宋简体" w:eastAsia="方正小标宋简体" w:cs="方正小标宋简体"/>
          <w:szCs w:val="36"/>
          <w:lang w:val="en-US" w:eastAsia="zh-CN"/>
        </w:rPr>
        <w:t xml:space="preserve"> </w:t>
      </w:r>
      <w:r>
        <w:rPr>
          <w:rFonts w:hint="eastAsia" w:ascii="方正小标宋简体" w:hAnsi="方正小标宋简体" w:eastAsia="方正小标宋简体" w:cs="方正小标宋简体"/>
          <w:szCs w:val="36"/>
        </w:rPr>
        <w:t>为规划</w:t>
      </w:r>
      <w:r>
        <w:rPr>
          <w:rFonts w:hint="eastAsia" w:ascii="方正小标宋简体" w:hAnsi="方正小标宋简体" w:eastAsia="方正小标宋简体" w:cs="方正小标宋简体"/>
          <w:szCs w:val="36"/>
          <w:lang w:val="en-US" w:eastAsia="zh-CN"/>
        </w:rPr>
        <w:t>落地</w:t>
      </w:r>
      <w:r>
        <w:rPr>
          <w:rFonts w:hint="eastAsia" w:ascii="方正小标宋简体" w:hAnsi="方正小标宋简体" w:eastAsia="方正小标宋简体" w:cs="方正小标宋简体"/>
          <w:szCs w:val="36"/>
        </w:rPr>
        <w:t>提供保障</w:t>
      </w:r>
      <w:r>
        <w:tab/>
      </w:r>
      <w:r>
        <w:fldChar w:fldCharType="begin"/>
      </w:r>
      <w:r>
        <w:instrText xml:space="preserve"> PAGEREF _Toc28583 </w:instrText>
      </w:r>
      <w:r>
        <w:fldChar w:fldCharType="separate"/>
      </w:r>
      <w:r>
        <w:t>129</w:t>
      </w:r>
      <w:r>
        <w:fldChar w:fldCharType="end"/>
      </w:r>
      <w:r>
        <w:fldChar w:fldCharType="end"/>
      </w:r>
    </w:p>
    <w:p w14:paraId="09BC0A55">
      <w:pPr>
        <w:pStyle w:val="14"/>
        <w:tabs>
          <w:tab w:val="right" w:leader="dot" w:pos="8306"/>
        </w:tabs>
      </w:pPr>
      <w:r>
        <w:fldChar w:fldCharType="begin"/>
      </w:r>
      <w:r>
        <w:instrText xml:space="preserve"> HYPERLINK \l _Toc19908 </w:instrText>
      </w:r>
      <w:r>
        <w:fldChar w:fldCharType="separate"/>
      </w:r>
      <w:r>
        <w:rPr>
          <w:rFonts w:hint="eastAsia" w:ascii="方正小标宋简体" w:hAnsi="方正小标宋简体" w:eastAsia="方正小标宋简体" w:cs="方正小标宋简体"/>
          <w:kern w:val="0"/>
        </w:rPr>
        <w:t>第一节  坚持大党建促大发展</w:t>
      </w:r>
      <w:r>
        <w:tab/>
      </w:r>
      <w:r>
        <w:fldChar w:fldCharType="begin"/>
      </w:r>
      <w:r>
        <w:instrText xml:space="preserve"> PAGEREF _Toc19908 </w:instrText>
      </w:r>
      <w:r>
        <w:fldChar w:fldCharType="separate"/>
      </w:r>
      <w:r>
        <w:t>129</w:t>
      </w:r>
      <w:r>
        <w:fldChar w:fldCharType="end"/>
      </w:r>
      <w:r>
        <w:fldChar w:fldCharType="end"/>
      </w:r>
    </w:p>
    <w:p w14:paraId="43F421E9">
      <w:pPr>
        <w:pStyle w:val="14"/>
        <w:tabs>
          <w:tab w:val="right" w:leader="dot" w:pos="8306"/>
        </w:tabs>
      </w:pPr>
      <w:r>
        <w:fldChar w:fldCharType="begin"/>
      </w:r>
      <w:r>
        <w:instrText xml:space="preserve"> HYPERLINK \l _Toc4159 </w:instrText>
      </w:r>
      <w:r>
        <w:fldChar w:fldCharType="separate"/>
      </w:r>
      <w:r>
        <w:rPr>
          <w:rFonts w:hint="eastAsia" w:ascii="方正小标宋简体" w:hAnsi="方正小标宋简体" w:eastAsia="方正小标宋简体" w:cs="方正小标宋简体"/>
          <w:kern w:val="0"/>
        </w:rPr>
        <w:t>第二节  持续营造风清气正良好政治生态</w:t>
      </w:r>
      <w:r>
        <w:tab/>
      </w:r>
      <w:r>
        <w:fldChar w:fldCharType="begin"/>
      </w:r>
      <w:r>
        <w:instrText xml:space="preserve"> PAGEREF _Toc4159 </w:instrText>
      </w:r>
      <w:r>
        <w:fldChar w:fldCharType="separate"/>
      </w:r>
      <w:r>
        <w:t>130</w:t>
      </w:r>
      <w:r>
        <w:fldChar w:fldCharType="end"/>
      </w:r>
      <w:r>
        <w:fldChar w:fldCharType="end"/>
      </w:r>
    </w:p>
    <w:p w14:paraId="783AD510">
      <w:pPr>
        <w:pStyle w:val="14"/>
        <w:tabs>
          <w:tab w:val="right" w:leader="dot" w:pos="8306"/>
        </w:tabs>
      </w:pPr>
      <w:r>
        <w:fldChar w:fldCharType="begin"/>
      </w:r>
      <w:r>
        <w:instrText xml:space="preserve"> HYPERLINK \l _Toc6598 </w:instrText>
      </w:r>
      <w:r>
        <w:fldChar w:fldCharType="separate"/>
      </w:r>
      <w:r>
        <w:rPr>
          <w:rFonts w:hint="eastAsia" w:ascii="方正小标宋简体" w:hAnsi="方正小标宋简体" w:eastAsia="方正小标宋简体" w:cs="方正小标宋简体"/>
          <w:kern w:val="0"/>
        </w:rPr>
        <w:t>第三节  发展社会主义民主政治</w:t>
      </w:r>
      <w:r>
        <w:tab/>
      </w:r>
      <w:r>
        <w:fldChar w:fldCharType="begin"/>
      </w:r>
      <w:r>
        <w:instrText xml:space="preserve"> PAGEREF _Toc6598 </w:instrText>
      </w:r>
      <w:r>
        <w:fldChar w:fldCharType="separate"/>
      </w:r>
      <w:r>
        <w:t>130</w:t>
      </w:r>
      <w:r>
        <w:fldChar w:fldCharType="end"/>
      </w:r>
      <w:r>
        <w:fldChar w:fldCharType="end"/>
      </w:r>
    </w:p>
    <w:p w14:paraId="75154D57">
      <w:pPr>
        <w:pStyle w:val="14"/>
        <w:tabs>
          <w:tab w:val="right" w:leader="dot" w:pos="8306"/>
        </w:tabs>
      </w:pPr>
      <w:r>
        <w:fldChar w:fldCharType="begin"/>
      </w:r>
      <w:r>
        <w:instrText xml:space="preserve"> HYPERLINK \l _Toc5117 </w:instrText>
      </w:r>
      <w:r>
        <w:fldChar w:fldCharType="separate"/>
      </w:r>
      <w:r>
        <w:rPr>
          <w:rFonts w:hint="eastAsia" w:ascii="方正小标宋简体" w:hAnsi="方正小标宋简体" w:eastAsia="方正小标宋简体" w:cs="方正小标宋简体"/>
          <w:kern w:val="0"/>
        </w:rPr>
        <w:t>第四节  确保发展用地需要和投入保障</w:t>
      </w:r>
      <w:r>
        <w:tab/>
      </w:r>
      <w:r>
        <w:fldChar w:fldCharType="begin"/>
      </w:r>
      <w:r>
        <w:instrText xml:space="preserve"> PAGEREF _Toc5117 </w:instrText>
      </w:r>
      <w:r>
        <w:fldChar w:fldCharType="separate"/>
      </w:r>
      <w:r>
        <w:t>131</w:t>
      </w:r>
      <w:r>
        <w:fldChar w:fldCharType="end"/>
      </w:r>
      <w:r>
        <w:fldChar w:fldCharType="end"/>
      </w:r>
    </w:p>
    <w:p w14:paraId="5207A22B">
      <w:pPr>
        <w:pStyle w:val="14"/>
        <w:tabs>
          <w:tab w:val="right" w:leader="dot" w:pos="8306"/>
        </w:tabs>
      </w:pPr>
      <w:r>
        <w:fldChar w:fldCharType="begin"/>
      </w:r>
      <w:r>
        <w:instrText xml:space="preserve"> HYPERLINK \l _Toc995 </w:instrText>
      </w:r>
      <w:r>
        <w:fldChar w:fldCharType="separate"/>
      </w:r>
      <w:r>
        <w:rPr>
          <w:rFonts w:hint="eastAsia" w:ascii="方正小标宋简体" w:hAnsi="方正小标宋简体" w:eastAsia="方正小标宋简体" w:cs="方正小标宋简体"/>
          <w:kern w:val="0"/>
        </w:rPr>
        <w:t>第五节  强化规划落地落实</w:t>
      </w:r>
      <w:r>
        <w:rPr>
          <w:rFonts w:hint="eastAsia" w:ascii="方正小标宋简体" w:hAnsi="方正小标宋简体" w:eastAsia="方正小标宋简体" w:cs="方正小标宋简体"/>
          <w:kern w:val="0"/>
          <w:lang w:val="en-US" w:eastAsia="zh-CN"/>
        </w:rPr>
        <w:t xml:space="preserve">  </w:t>
      </w:r>
      <w:r>
        <w:rPr>
          <w:rFonts w:hint="eastAsia" w:ascii="方正小标宋简体" w:hAnsi="方正小标宋简体" w:eastAsia="方正小标宋简体" w:cs="方正小标宋简体"/>
          <w:kern w:val="0"/>
        </w:rPr>
        <w:t>确保蓝图开花结果</w:t>
      </w:r>
      <w:r>
        <w:tab/>
      </w:r>
      <w:r>
        <w:fldChar w:fldCharType="begin"/>
      </w:r>
      <w:r>
        <w:instrText xml:space="preserve"> PAGEREF _Toc995 </w:instrText>
      </w:r>
      <w:r>
        <w:fldChar w:fldCharType="separate"/>
      </w:r>
      <w:r>
        <w:t>134</w:t>
      </w:r>
      <w:r>
        <w:fldChar w:fldCharType="end"/>
      </w:r>
      <w:r>
        <w:fldChar w:fldCharType="end"/>
      </w:r>
    </w:p>
    <w:p w14:paraId="3DA620B9">
      <w:pPr>
        <w:spacing w:line="400" w:lineRule="exact"/>
      </w:pPr>
      <w:r>
        <w:fldChar w:fldCharType="end"/>
      </w:r>
    </w:p>
    <w:p w14:paraId="36213BA6">
      <w:pPr>
        <w:spacing w:line="400" w:lineRule="exact"/>
      </w:pPr>
    </w:p>
    <w:p w14:paraId="018A1FDA">
      <w:pPr>
        <w:spacing w:line="400" w:lineRule="exact"/>
        <w:ind w:firstLine="0" w:firstLineChars="0"/>
        <w:rPr>
          <w:rFonts w:ascii="方正仿宋简体" w:hAnsi="仿宋" w:eastAsia="方正仿宋简体"/>
          <w:sz w:val="30"/>
          <w:szCs w:val="30"/>
        </w:rPr>
      </w:pPr>
      <w:r>
        <w:rPr>
          <w:rFonts w:hint="eastAsia" w:ascii="方正小标宋简体" w:hAnsi="方正小标宋简体" w:eastAsia="方正小标宋简体" w:cs="方正小标宋简体"/>
          <w:szCs w:val="36"/>
          <w:lang w:val="en-US" w:eastAsia="zh-CN"/>
        </w:rPr>
        <w:t xml:space="preserve">     </w:t>
      </w:r>
    </w:p>
    <w:p w14:paraId="1AD77133">
      <w:pPr>
        <w:ind w:firstLine="600" w:firstLineChars="200"/>
        <w:rPr>
          <w:rFonts w:hint="eastAsia" w:ascii="方正仿宋简体" w:hAnsi="仿宋" w:eastAsia="方正仿宋简体"/>
          <w:sz w:val="30"/>
          <w:szCs w:val="30"/>
        </w:rPr>
      </w:pPr>
    </w:p>
    <w:p w14:paraId="6DC61EA3">
      <w:pPr>
        <w:ind w:firstLine="600" w:firstLineChars="200"/>
        <w:rPr>
          <w:rFonts w:hint="eastAsia" w:ascii="方正仿宋简体" w:hAnsi="仿宋" w:eastAsia="方正仿宋简体"/>
          <w:sz w:val="30"/>
          <w:szCs w:val="30"/>
        </w:rPr>
      </w:pPr>
    </w:p>
    <w:p w14:paraId="4262423F">
      <w:pPr>
        <w:ind w:firstLine="600" w:firstLineChars="200"/>
        <w:rPr>
          <w:rFonts w:hint="eastAsia" w:ascii="方正仿宋简体" w:hAnsi="仿宋" w:eastAsia="方正仿宋简体"/>
          <w:sz w:val="30"/>
          <w:szCs w:val="30"/>
        </w:rPr>
      </w:pPr>
    </w:p>
    <w:p w14:paraId="54265A30">
      <w:pPr>
        <w:ind w:firstLine="600" w:firstLineChars="200"/>
        <w:rPr>
          <w:rFonts w:hint="eastAsia" w:ascii="方正仿宋简体" w:hAnsi="仿宋" w:eastAsia="方正仿宋简体"/>
          <w:sz w:val="30"/>
          <w:szCs w:val="30"/>
        </w:rPr>
      </w:pPr>
    </w:p>
    <w:p w14:paraId="68ED58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息烽县国民经济和社会发展第十四个五年规划和二O三五年远景目标纲要》，根据《中共息烽县委关于制定国民经济和社会发展第十四个五年规划和二O三五年远景目标的建议》编制，主要阐明息烽县战略意图，明确经济社会发展宏伟目标、主要任务和重大举措，是全县市场主体的行为导向，是政府履职尽责的重要依据，是全县各族人民的共同愿景。</w:t>
      </w:r>
    </w:p>
    <w:p w14:paraId="239E41B5">
      <w:pPr>
        <w:pStyle w:val="10"/>
        <w:jc w:val="center"/>
        <w:rPr>
          <w:rFonts w:ascii="方正小标宋简体" w:hAnsi="方正小标宋简体" w:eastAsia="方正小标宋简体" w:cs="方正小标宋简体"/>
          <w:b w:val="0"/>
          <w:bCs w:val="0"/>
          <w:sz w:val="36"/>
          <w:szCs w:val="36"/>
        </w:rPr>
      </w:pPr>
      <w:r>
        <w:br w:type="page"/>
      </w:r>
      <w:bookmarkStart w:id="0" w:name="_Toc28137"/>
      <w:bookmarkStart w:id="1" w:name="_Toc5485"/>
      <w:bookmarkStart w:id="2" w:name="_Toc28080"/>
      <w:bookmarkStart w:id="3" w:name="_Toc13892"/>
      <w:bookmarkStart w:id="4" w:name="_Toc19467"/>
      <w:bookmarkStart w:id="5" w:name="_Toc5560"/>
      <w:bookmarkStart w:id="6" w:name="_Toc22579"/>
      <w:bookmarkStart w:id="7" w:name="_Toc18374"/>
      <w:bookmarkStart w:id="8" w:name="_Toc28027"/>
      <w:bookmarkStart w:id="9" w:name="_Toc32163"/>
      <w:bookmarkStart w:id="10" w:name="_Toc8898"/>
      <w:bookmarkStart w:id="11" w:name="_Toc32254"/>
      <w:bookmarkStart w:id="12" w:name="_Toc58580269"/>
      <w:bookmarkStart w:id="13" w:name="_Toc7732"/>
      <w:bookmarkStart w:id="14" w:name="_Toc959"/>
      <w:bookmarkStart w:id="15" w:name="_Toc12623"/>
      <w:bookmarkStart w:id="16" w:name="_Toc61193776"/>
      <w:r>
        <w:rPr>
          <w:rFonts w:hint="eastAsia" w:ascii="方正小标宋简体" w:hAnsi="方正小标宋简体" w:eastAsia="方正小标宋简体" w:cs="方正小标宋简体"/>
          <w:b w:val="0"/>
          <w:bCs w:val="0"/>
          <w:sz w:val="36"/>
          <w:szCs w:val="36"/>
        </w:rPr>
        <w:t>第一章</w:t>
      </w:r>
      <w:r>
        <w:rPr>
          <w:rFonts w:ascii="方正小标宋简体" w:hAnsi="方正小标宋简体" w:eastAsia="方正小标宋简体" w:cs="方正小标宋简体"/>
          <w:b w:val="0"/>
          <w:bCs w:val="0"/>
          <w:sz w:val="36"/>
          <w:szCs w:val="36"/>
        </w:rPr>
        <w:t xml:space="preserve">  </w:t>
      </w:r>
      <w:r>
        <w:rPr>
          <w:rFonts w:hint="eastAsia" w:ascii="方正小标宋简体" w:hAnsi="方正小标宋简体" w:eastAsia="方正小标宋简体" w:cs="方正小标宋简体"/>
          <w:b w:val="0"/>
          <w:bCs w:val="0"/>
          <w:sz w:val="36"/>
          <w:szCs w:val="36"/>
          <w:lang w:eastAsia="zh-CN"/>
        </w:rPr>
        <w:t>开启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方正小标宋简体" w:hAnsi="方正小标宋简体" w:eastAsia="方正小标宋简体" w:cs="方正小标宋简体"/>
          <w:b w:val="0"/>
          <w:bCs w:val="0"/>
          <w:sz w:val="36"/>
          <w:szCs w:val="36"/>
          <w:lang w:eastAsia="zh-CN"/>
        </w:rPr>
        <w:t>全面建设社会主义现代化国家新征程</w:t>
      </w:r>
    </w:p>
    <w:p w14:paraId="4330AC72">
      <w:pPr>
        <w:pStyle w:val="21"/>
        <w:spacing w:line="560" w:lineRule="exact"/>
        <w:ind w:firstLine="640"/>
        <w:rPr>
          <w:rFonts w:hint="eastAsia" w:ascii="仿宋_GB2312" w:hAnsi="仿宋_GB2312" w:eastAsia="仿宋_GB2312" w:cs="仿宋_GB2312"/>
          <w:sz w:val="32"/>
          <w:szCs w:val="32"/>
        </w:rPr>
      </w:pPr>
    </w:p>
    <w:p w14:paraId="770B4F5F">
      <w:pPr>
        <w:pStyle w:val="21"/>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“十四五”时期是我国全面建成小康社会、实现第一个百年奋斗目标之后，乘势而上开启全面建设社会主义现代化国家新征程、向第二个百年奋斗目标进军的第一个五年，也是息烽县在新起点上开启</w:t>
      </w:r>
      <w:r>
        <w:rPr>
          <w:rFonts w:hint="eastAsia" w:ascii="仿宋_GB2312" w:hAnsi="仿宋_GB2312" w:eastAsia="仿宋_GB2312" w:cs="仿宋_GB2312"/>
          <w:sz w:val="32"/>
          <w:szCs w:val="32"/>
          <w:lang w:eastAsia="zh-CN"/>
        </w:rPr>
        <w:t>全面建设社会主义现代化国家新征程</w:t>
      </w:r>
      <w:r>
        <w:rPr>
          <w:rFonts w:hint="eastAsia" w:ascii="仿宋_GB2312" w:hAnsi="仿宋_GB2312" w:eastAsia="仿宋_GB2312" w:cs="仿宋_GB2312"/>
          <w:sz w:val="32"/>
          <w:szCs w:val="32"/>
        </w:rPr>
        <w:t>，奋力谱写新时代息烽赶超突围新篇章的关键五年。全县必须认真贯彻落实县委、县政府战略决策部署，为全面建设社会主义现代化开好局、起好步。</w:t>
      </w:r>
    </w:p>
    <w:p w14:paraId="24E68B0D">
      <w:pPr>
        <w:widowControl/>
        <w:spacing w:line="560" w:lineRule="exact"/>
        <w:jc w:val="center"/>
        <w:outlineLvl w:val="1"/>
        <w:rPr>
          <w:rFonts w:ascii="方正小标宋简体" w:hAnsi="方正小标宋简体" w:eastAsia="方正小标宋简体" w:cs="方正小标宋简体"/>
          <w:b w:val="0"/>
          <w:bCs w:val="0"/>
          <w:sz w:val="32"/>
          <w:szCs w:val="32"/>
        </w:rPr>
      </w:pPr>
      <w:bookmarkStart w:id="17" w:name="_Toc32559"/>
      <w:bookmarkStart w:id="18" w:name="_Toc1230"/>
      <w:bookmarkStart w:id="19" w:name="_Toc61193777"/>
      <w:bookmarkStart w:id="20" w:name="_Toc17500"/>
      <w:bookmarkStart w:id="21" w:name="_Toc11330"/>
      <w:bookmarkStart w:id="22" w:name="_Toc21835"/>
      <w:bookmarkStart w:id="23" w:name="_Toc58580270"/>
      <w:bookmarkStart w:id="24" w:name="_Toc2167"/>
      <w:bookmarkStart w:id="25" w:name="_Toc30510"/>
      <w:bookmarkStart w:id="26" w:name="_Toc18158"/>
      <w:bookmarkStart w:id="27" w:name="_Toc4037"/>
      <w:bookmarkStart w:id="28" w:name="_Toc2159"/>
      <w:bookmarkStart w:id="29" w:name="_Toc20582"/>
      <w:r>
        <w:rPr>
          <w:rFonts w:hint="eastAsia" w:ascii="方正小标宋简体" w:hAnsi="方正小标宋简体" w:eastAsia="方正小标宋简体" w:cs="方正小标宋简体"/>
          <w:b w:val="0"/>
          <w:bCs w:val="0"/>
          <w:sz w:val="32"/>
          <w:szCs w:val="32"/>
        </w:rPr>
        <w:t>第一节  全面建成小康社会</w:t>
      </w:r>
      <w:bookmarkEnd w:id="17"/>
      <w:bookmarkEnd w:id="18"/>
      <w:bookmarkEnd w:id="19"/>
      <w:bookmarkEnd w:id="20"/>
      <w:bookmarkEnd w:id="21"/>
      <w:bookmarkEnd w:id="22"/>
      <w:bookmarkEnd w:id="23"/>
      <w:bookmarkEnd w:id="24"/>
      <w:bookmarkEnd w:id="25"/>
      <w:bookmarkEnd w:id="26"/>
      <w:bookmarkEnd w:id="27"/>
      <w:bookmarkEnd w:id="28"/>
      <w:bookmarkEnd w:id="29"/>
    </w:p>
    <w:p w14:paraId="022D895C">
      <w:pPr>
        <w:pStyle w:val="21"/>
        <w:spacing w:line="560" w:lineRule="exact"/>
        <w:ind w:firstLine="640"/>
        <w:rPr>
          <w:rFonts w:ascii="Times New Roman" w:hAnsi="Times New Roman" w:eastAsia="仿宋_GB2312" w:cs="Times New Roman"/>
          <w:sz w:val="32"/>
          <w:szCs w:val="32"/>
        </w:rPr>
      </w:pPr>
      <w:r>
        <w:rPr>
          <w:rFonts w:hint="eastAsia" w:ascii="仿宋_GB2312" w:hAnsi="仿宋_GB2312" w:eastAsia="仿宋_GB2312" w:cs="仿宋_GB2312"/>
          <w:kern w:val="0"/>
          <w:sz w:val="32"/>
          <w:szCs w:val="32"/>
        </w:rPr>
        <w:t>“十三五”</w:t>
      </w:r>
      <w:r>
        <w:rPr>
          <w:rFonts w:hint="eastAsia" w:ascii="仿宋_GB2312" w:hAnsi="仿宋_GB2312" w:eastAsia="仿宋_GB2312" w:cs="仿宋_GB2312"/>
          <w:kern w:val="0"/>
          <w:sz w:val="32"/>
          <w:szCs w:val="32"/>
          <w:lang w:eastAsia="zh-CN"/>
        </w:rPr>
        <w:t>的五年</w:t>
      </w:r>
      <w:r>
        <w:rPr>
          <w:rFonts w:hint="eastAsia" w:ascii="仿宋_GB2312" w:hAnsi="仿宋_GB2312" w:eastAsia="仿宋_GB2312" w:cs="仿宋_GB2312"/>
          <w:kern w:val="0"/>
          <w:sz w:val="32"/>
          <w:szCs w:val="32"/>
        </w:rPr>
        <w:t>，</w:t>
      </w:r>
      <w:r>
        <w:rPr>
          <w:rFonts w:hint="eastAsia" w:ascii="Times New Roman" w:hAnsi="Times New Roman" w:eastAsia="仿宋_GB2312" w:cs="Times New Roman"/>
          <w:sz w:val="32"/>
          <w:szCs w:val="32"/>
        </w:rPr>
        <w:t>是息烽发展史上极不平凡的五年。全县上下坚持以习近平新时代中国特色社会主义思想为指导，不忘初心、牢记使命，深入学习贯彻习近平总书记对贵州贵阳工作重要指示精神，全面落实中央</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省委、市委</w:t>
      </w:r>
      <w:r>
        <w:rPr>
          <w:rFonts w:hint="eastAsia" w:ascii="Times New Roman" w:hAnsi="Times New Roman" w:eastAsia="仿宋_GB2312" w:cs="Times New Roman"/>
          <w:sz w:val="32"/>
          <w:szCs w:val="32"/>
          <w:lang w:eastAsia="zh-CN"/>
        </w:rPr>
        <w:t>、县委</w:t>
      </w:r>
      <w:r>
        <w:rPr>
          <w:rFonts w:hint="eastAsia" w:ascii="Times New Roman" w:hAnsi="Times New Roman" w:eastAsia="仿宋_GB2312" w:cs="Times New Roman"/>
          <w:sz w:val="32"/>
          <w:szCs w:val="32"/>
        </w:rPr>
        <w:t>的决策部署，坚持以脱贫攻坚统揽经济社会发展全局，坚决打好“三大攻坚战”，深入实施“三大战略行动”，围绕“成为开放发展的‘新亮点’，打造中高端制造业核心配套区”的目标定位，干成了一批强基础利长远的大事，办成了一批多年想办未办的难事，做成了一批首开先河、敢为人先的新事，推动全县经济发展上台阶、城市形象上档次、民生改善上水平，实现了一系列有标志性意义的新突破，</w:t>
      </w:r>
      <w:r>
        <w:rPr>
          <w:rFonts w:hint="eastAsia" w:ascii="Times New Roman" w:hAnsi="Times New Roman" w:eastAsia="仿宋_GB2312" w:cs="Times New Roman"/>
          <w:sz w:val="32"/>
          <w:szCs w:val="32"/>
          <w:lang w:eastAsia="zh-CN"/>
        </w:rPr>
        <w:t>即将</w:t>
      </w:r>
      <w:r>
        <w:rPr>
          <w:rFonts w:hint="eastAsia" w:ascii="Times New Roman" w:hAnsi="Times New Roman" w:eastAsia="仿宋_GB2312" w:cs="Times New Roman"/>
          <w:sz w:val="32"/>
          <w:szCs w:val="32"/>
        </w:rPr>
        <w:t>如期与全国同步全面建成小康社会。</w:t>
      </w:r>
    </w:p>
    <w:p w14:paraId="3F571B4F">
      <w:pPr>
        <w:adjustRightIn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经济发展稳中有进，</w:t>
      </w:r>
      <w:r>
        <w:rPr>
          <w:rFonts w:hint="eastAsia" w:ascii="仿宋_GB2312" w:hAnsi="仿宋_GB2312" w:eastAsia="仿宋_GB2312" w:cs="仿宋_GB2312"/>
          <w:sz w:val="32"/>
          <w:szCs w:val="32"/>
        </w:rPr>
        <w:t>依托“七大产业”集群发展和经开区扩容升级，</w:t>
      </w:r>
      <w:r>
        <w:rPr>
          <w:rFonts w:hint="eastAsia" w:ascii="Times New Roman" w:hAnsi="Times New Roman" w:eastAsia="仿宋_GB2312" w:cs="Times New Roman"/>
          <w:sz w:val="32"/>
          <w:szCs w:val="32"/>
        </w:rPr>
        <w:t>经济结构持续优化，现代化工与其它工业产业竞相发展</w:t>
      </w:r>
      <w:r>
        <w:rPr>
          <w:rFonts w:hint="eastAsia" w:ascii="Times New Roman" w:hAnsi="Times New Roman" w:eastAsia="仿宋_GB2312" w:cs="Times New Roman"/>
          <w:bCs/>
          <w:kern w:val="0"/>
          <w:sz w:val="32"/>
          <w:szCs w:val="32"/>
        </w:rPr>
        <w:t>；农业业态全面提升，农村产业革命持续推进；服务业快速发展，息烽温泉完成升级改造</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立碑村成为全省第一个“淘宝村”。</w:t>
      </w:r>
      <w:r>
        <w:rPr>
          <w:rFonts w:hint="eastAsia" w:ascii="仿宋_GB2312" w:hAnsi="仿宋_GB2312" w:eastAsia="仿宋_GB2312" w:cs="仿宋_GB2312"/>
          <w:sz w:val="32"/>
          <w:szCs w:val="32"/>
        </w:rPr>
        <w:t>三次产业结构占比由“十二五”末的</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:41.7调整为“十三五”末的16:3</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，GDP年均增速保持</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%以上，县域经济发展综合测评在全省县域第一方阵22个县中</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3年排名前</w:t>
      </w:r>
      <w:r>
        <w:rPr>
          <w:rFonts w:hint="eastAsia" w:ascii="仿宋_GB2312" w:hAnsi="仿宋_GB2312" w:eastAsia="仿宋_GB2312" w:cs="仿宋_GB2312"/>
          <w:bCs/>
          <w:kern w:val="0"/>
          <w:sz w:val="32"/>
          <w:szCs w:val="32"/>
        </w:rPr>
        <w:t>12位</w:t>
      </w:r>
      <w:r>
        <w:rPr>
          <w:rFonts w:hint="eastAsia" w:ascii="Times New Roman" w:hAnsi="Times New Roman" w:eastAsia="仿宋_GB2312" w:cs="Times New Roman"/>
          <w:sz w:val="32"/>
          <w:szCs w:val="32"/>
        </w:rPr>
        <w:t>。</w:t>
      </w:r>
    </w:p>
    <w:p w14:paraId="7850B2FC">
      <w:pPr>
        <w:adjustRightInd w:val="0"/>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黑体" w:cs="Times New Roman"/>
          <w:sz w:val="32"/>
          <w:szCs w:val="32"/>
        </w:rPr>
        <w:t>脱贫攻坚圆满收官，</w:t>
      </w:r>
      <w:r>
        <w:rPr>
          <w:rFonts w:hint="eastAsia" w:ascii="仿宋_GB2312" w:hAnsi="仿宋_GB2312" w:eastAsia="仿宋_GB2312" w:cs="仿宋_GB2312"/>
          <w:sz w:val="32"/>
          <w:szCs w:val="32"/>
        </w:rPr>
        <w:t>12个国家级贫困村全部出列，2546户7083人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2020年动态调整数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达到脱贫标准</w:t>
      </w:r>
      <w:r>
        <w:rPr>
          <w:rFonts w:hint="eastAsia" w:ascii="Times New Roman" w:hAnsi="Times New Roman" w:eastAsia="仿宋_GB2312" w:cs="Times New Roman"/>
          <w:sz w:val="32"/>
          <w:szCs w:val="32"/>
        </w:rPr>
        <w:t>并顺利退出贫困人口序列</w:t>
      </w:r>
      <w:r>
        <w:rPr>
          <w:rFonts w:hint="eastAsia" w:ascii="仿宋_GB2312" w:hAnsi="仿宋_GB2312" w:eastAsia="仿宋_GB2312" w:cs="仿宋_GB2312"/>
          <w:sz w:val="32"/>
          <w:szCs w:val="32"/>
        </w:rPr>
        <w:t>，368户1519人易地扶贫搬迁对象全部搬迁入住，实现了村民到市民的转变，通过2</w:t>
      </w:r>
      <w:r>
        <w:rPr>
          <w:rFonts w:ascii="仿宋_GB2312" w:hAnsi="仿宋_GB2312" w:eastAsia="仿宋_GB2312" w:cs="仿宋_GB2312"/>
          <w:sz w:val="32"/>
          <w:szCs w:val="32"/>
        </w:rPr>
        <w:t>7.9</w:t>
      </w:r>
      <w:r>
        <w:rPr>
          <w:rFonts w:hint="eastAsia" w:ascii="仿宋_GB2312" w:hAnsi="仿宋_GB2312" w:eastAsia="仿宋_GB2312" w:cs="仿宋_GB2312"/>
          <w:sz w:val="32"/>
          <w:szCs w:val="32"/>
        </w:rPr>
        <w:t>万亩产业结构调整，为稳定脱贫奠定产业基础。</w:t>
      </w:r>
    </w:p>
    <w:p w14:paraId="574B5922">
      <w:pPr>
        <w:adjustRightIn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乡村振兴稳步推进，</w:t>
      </w:r>
      <w:r>
        <w:rPr>
          <w:rFonts w:hint="eastAsia" w:ascii="仿宋_GB2312" w:hAnsi="仿宋_GB2312" w:eastAsia="仿宋_GB2312" w:cs="仿宋_GB2312"/>
          <w:sz w:val="32"/>
          <w:szCs w:val="32"/>
        </w:rPr>
        <w:t>田园综合体全域发展格局初步构建，全县15个田园综合体建设取得阶段性成果，“3+N”的产业布局基本形成，“猕天大圣”等一批农特产品品牌响誉国内外，肉鸡、生猪、生态渔业等产业走向标准化、专业化、规模化发展道路</w:t>
      </w:r>
      <w:r>
        <w:rPr>
          <w:rFonts w:hint="eastAsia" w:ascii="Times New Roman" w:hAnsi="Times New Roman" w:eastAsia="仿宋_GB2312" w:cs="Times New Roman"/>
          <w:sz w:val="32"/>
          <w:szCs w:val="32"/>
        </w:rPr>
        <w:t>。</w:t>
      </w:r>
    </w:p>
    <w:p w14:paraId="185821D2">
      <w:pPr>
        <w:adjustRightInd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黑体" w:cs="Times New Roman"/>
          <w:sz w:val="32"/>
          <w:szCs w:val="32"/>
        </w:rPr>
        <w:t>改革创新迸发活力，</w:t>
      </w:r>
      <w:r>
        <w:rPr>
          <w:rFonts w:hint="eastAsia" w:ascii="Times New Roman" w:hAnsi="Times New Roman" w:eastAsia="仿宋_GB2312" w:cs="Times New Roman"/>
          <w:sz w:val="32"/>
          <w:szCs w:val="32"/>
        </w:rPr>
        <w:t>顺利完成党政机构改革，“六权共享”模式广泛推广，农村土地承包登记长效管理、农村“三变”等</w:t>
      </w:r>
      <w:r>
        <w:rPr>
          <w:rFonts w:hint="eastAsia" w:ascii="Times New Roman" w:hAnsi="Times New Roman" w:eastAsia="仿宋_GB2312" w:cs="Times New Roman"/>
          <w:bCs/>
          <w:sz w:val="32"/>
          <w:szCs w:val="32"/>
        </w:rPr>
        <w:t>重点领域和关键环节改革取得突破性进展，</w:t>
      </w:r>
      <w:r>
        <w:rPr>
          <w:rFonts w:hint="eastAsia" w:ascii="Times New Roman" w:hAnsi="Times New Roman" w:eastAsia="仿宋_GB2312" w:cs="Times New Roman"/>
          <w:sz w:val="32"/>
          <w:szCs w:val="32"/>
        </w:rPr>
        <w:t>经济发展更具活力。</w:t>
      </w:r>
      <w:r>
        <w:rPr>
          <w:rFonts w:hint="eastAsia" w:ascii="Times New Roman" w:hAnsi="Times New Roman" w:eastAsia="仿宋_GB2312" w:cs="Times New Roman"/>
          <w:bCs/>
          <w:sz w:val="32"/>
          <w:szCs w:val="32"/>
        </w:rPr>
        <w:t>高水平对外开放步伐加快，开放型经济不断壮大。</w:t>
      </w:r>
    </w:p>
    <w:p w14:paraId="0A25B437">
      <w:pPr>
        <w:adjustRightInd w:val="0"/>
        <w:spacing w:line="520" w:lineRule="exact"/>
        <w:ind w:firstLine="640" w:firstLineChars="200"/>
        <w:rPr>
          <w:rFonts w:hint="eastAsia" w:ascii="Times New Roman" w:hAnsi="Times New Roman" w:eastAsia="仿宋_GB2312" w:cs="Times New Roman"/>
          <w:sz w:val="32"/>
        </w:rPr>
      </w:pPr>
      <w:r>
        <w:rPr>
          <w:rFonts w:hint="eastAsia" w:ascii="Times New Roman" w:hAnsi="Times New Roman" w:eastAsia="黑体" w:cs="Times New Roman"/>
          <w:sz w:val="32"/>
          <w:szCs w:val="32"/>
        </w:rPr>
        <w:t>城乡面貌深入改观，</w:t>
      </w:r>
      <w:r>
        <w:rPr>
          <w:rFonts w:hint="eastAsia" w:ascii="Times New Roman" w:hAnsi="Times New Roman" w:eastAsia="仿宋_GB2312" w:cs="Times New Roman"/>
          <w:sz w:val="32"/>
          <w:szCs w:val="32"/>
        </w:rPr>
        <w:t>团圆山环线、同城大道中段相继竣工，城市“骨架”全面展开，“一轴一环两核多点”发展新格局逐步形成。</w:t>
      </w:r>
      <w:r>
        <w:rPr>
          <w:rFonts w:hint="eastAsia" w:ascii="Times New Roman" w:hAnsi="Times New Roman" w:eastAsia="仿宋_GB2312" w:cs="Times New Roman"/>
          <w:bCs/>
          <w:sz w:val="32"/>
          <w:szCs w:val="32"/>
        </w:rPr>
        <w:t>渝贵快速铁路建成通车，开启息烽高铁时代。江都高速公路、新萝支线、息烽南站建成通车，高速公路实现东西贯通。</w:t>
      </w:r>
      <w:r>
        <w:rPr>
          <w:rFonts w:hint="eastAsia" w:ascii="Times New Roman" w:hAnsi="Times New Roman" w:eastAsia="仿宋_GB2312" w:cs="Times New Roman"/>
          <w:sz w:val="32"/>
        </w:rPr>
        <w:t>江都高速、贵金古高速与贵遵高速相互补充，</w:t>
      </w:r>
      <w:r>
        <w:rPr>
          <w:rFonts w:hint="eastAsia" w:ascii="仿宋_GB2312" w:hAnsi="仿宋_GB2312" w:eastAsia="仿宋_GB2312" w:cs="仿宋_GB2312"/>
          <w:sz w:val="32"/>
        </w:rPr>
        <w:t>县域</w:t>
      </w:r>
      <w:r>
        <w:rPr>
          <w:rFonts w:hint="eastAsia" w:ascii="仿宋_GB2312" w:hAnsi="仿宋_GB2312" w:eastAsia="仿宋_GB2312" w:cs="仿宋_GB2312"/>
          <w:sz w:val="32"/>
          <w:szCs w:val="32"/>
        </w:rPr>
        <w:t>“2小时通勤圈、高品</w:t>
      </w:r>
      <w:r>
        <w:rPr>
          <w:rFonts w:hint="eastAsia" w:ascii="Times New Roman" w:hAnsi="Times New Roman" w:eastAsia="仿宋_GB2312" w:cs="Times New Roman"/>
          <w:sz w:val="32"/>
          <w:szCs w:val="32"/>
        </w:rPr>
        <w:t>质生活圈”逐步与成渝地区双城经济圈接轨，</w:t>
      </w:r>
      <w:r>
        <w:rPr>
          <w:rFonts w:hint="eastAsia" w:ascii="Times New Roman" w:hAnsi="Times New Roman" w:eastAsia="仿宋_GB2312" w:cs="Times New Roman"/>
          <w:bCs/>
          <w:sz w:val="32"/>
          <w:szCs w:val="32"/>
        </w:rPr>
        <w:t>水、电、气等基础设施建设全面提速，功能配套更加完善</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sz w:val="32"/>
        </w:rPr>
        <w:t>城乡发展一体化推进。</w:t>
      </w:r>
    </w:p>
    <w:p w14:paraId="4D8737BF">
      <w:pPr>
        <w:adjustRightInd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黑体" w:cs="Times New Roman"/>
          <w:sz w:val="32"/>
          <w:szCs w:val="32"/>
        </w:rPr>
        <w:t>生态环境持续优化，</w:t>
      </w:r>
      <w:r>
        <w:rPr>
          <w:rFonts w:hint="eastAsia" w:ascii="Times New Roman" w:hAnsi="Times New Roman" w:eastAsia="仿宋_GB2312" w:cs="Times New Roman"/>
          <w:sz w:val="32"/>
          <w:szCs w:val="32"/>
        </w:rPr>
        <w:t>生态优先、绿色发展理念逐渐深入人心，</w:t>
      </w:r>
      <w:r>
        <w:rPr>
          <w:rFonts w:hint="eastAsia" w:ascii="Times New Roman" w:hAnsi="Times New Roman" w:eastAsia="仿宋_GB2312" w:cs="Times New Roman"/>
          <w:bCs/>
          <w:sz w:val="32"/>
          <w:szCs w:val="32"/>
          <w:lang w:val="zh-CN"/>
        </w:rPr>
        <w:t>乌江流域（息烽水域）网箱及水上浮动设施整治全面完成，禁捕退捕工作有序推进，</w:t>
      </w:r>
      <w:r>
        <w:rPr>
          <w:rFonts w:hint="eastAsia" w:ascii="Times New Roman" w:hAnsi="Times New Roman" w:eastAsia="仿宋_GB2312" w:cs="Times New Roman"/>
          <w:sz w:val="32"/>
          <w:szCs w:val="32"/>
        </w:rPr>
        <w:t>磷化工改造转型升级成效显著，</w:t>
      </w:r>
      <w:r>
        <w:rPr>
          <w:rFonts w:hint="eastAsia" w:ascii="Times New Roman" w:hAnsi="Times New Roman" w:eastAsia="仿宋_GB2312" w:cs="Times New Roman"/>
          <w:bCs/>
          <w:sz w:val="32"/>
          <w:szCs w:val="32"/>
          <w:lang w:val="zh-CN"/>
        </w:rPr>
        <w:t>“以渣定产”实现磷石膏“产消平衡”，中央生态环境保护督察反馈问题全面整改巩固，</w:t>
      </w:r>
      <w:r>
        <w:rPr>
          <w:rFonts w:hint="eastAsia" w:ascii="Times New Roman" w:hAnsi="Times New Roman" w:eastAsia="仿宋_GB2312" w:cs="Times New Roman"/>
          <w:sz w:val="32"/>
          <w:szCs w:val="32"/>
        </w:rPr>
        <w:t>污染防治力度前所未有，完成交椅山渣场、乌江34号泉眼治理项目，停运3.4万吨黄磷生产线。</w:t>
      </w:r>
      <w:r>
        <w:rPr>
          <w:rFonts w:hint="eastAsia" w:ascii="Times New Roman" w:hAnsi="Times New Roman" w:eastAsia="仿宋_GB2312" w:cs="Times New Roman"/>
          <w:bCs/>
          <w:sz w:val="32"/>
          <w:szCs w:val="32"/>
          <w:lang w:val="zh-CN"/>
        </w:rPr>
        <w:t>城乡生态环境和人居环境明显改善</w:t>
      </w:r>
      <w:r>
        <w:rPr>
          <w:rFonts w:hint="eastAsia" w:ascii="Times New Roman" w:hAnsi="Times New Roman" w:eastAsia="仿宋_GB2312" w:cs="Times New Roman"/>
          <w:bCs/>
          <w:sz w:val="32"/>
          <w:szCs w:val="32"/>
        </w:rPr>
        <w:t>。</w:t>
      </w:r>
    </w:p>
    <w:p w14:paraId="52C5CCD8">
      <w:pPr>
        <w:adjustRightIn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民生福祉明显改善，</w:t>
      </w:r>
      <w:r>
        <w:rPr>
          <w:rFonts w:hint="eastAsia" w:ascii="Times New Roman" w:hAnsi="Times New Roman" w:eastAsia="仿宋_GB2312" w:cs="Times New Roman"/>
          <w:sz w:val="32"/>
          <w:szCs w:val="32"/>
        </w:rPr>
        <w:t>覆盖城乡居民的社会保障体系更加健全，就业、教育、卫生、文化、养老、住房等民生事业全面进步，</w:t>
      </w:r>
      <w:r>
        <w:rPr>
          <w:rFonts w:hint="eastAsia" w:ascii="Times New Roman" w:hAnsi="Times New Roman" w:eastAsia="仿宋_GB2312" w:cs="Times New Roman"/>
          <w:bCs/>
          <w:sz w:val="32"/>
          <w:szCs w:val="32"/>
        </w:rPr>
        <w:t>统筹疫情防控和经济社会发展取得重大战略成果，文化事业和文化产业繁荣发展，</w:t>
      </w:r>
      <w:r>
        <w:rPr>
          <w:rFonts w:hint="eastAsia" w:ascii="Times New Roman" w:hAnsi="Times New Roman" w:eastAsia="仿宋_GB2312" w:cs="Times New Roman"/>
          <w:sz w:val="32"/>
          <w:szCs w:val="32"/>
        </w:rPr>
        <w:t>县域社会治理现代化能力水平不断提高，群众文明素质和城乡文明程度全面提升，</w:t>
      </w:r>
      <w:r>
        <w:rPr>
          <w:rFonts w:hint="eastAsia" w:ascii="Times New Roman" w:hAnsi="Times New Roman" w:eastAsia="仿宋_GB2312" w:cs="Times New Roman"/>
          <w:bCs/>
          <w:sz w:val="32"/>
          <w:szCs w:val="32"/>
        </w:rPr>
        <w:t>成功蝉联“省级文明城市”荣誉称号，</w:t>
      </w:r>
      <w:r>
        <w:rPr>
          <w:rFonts w:hint="eastAsia" w:ascii="Times New Roman" w:hAnsi="Times New Roman" w:eastAsia="仿宋_GB2312" w:cs="Times New Roman"/>
          <w:sz w:val="32"/>
          <w:szCs w:val="32"/>
        </w:rPr>
        <w:t>先后荣获“省级慢性病综合防控示范区”“国家卫生县城”“全国平安建设先进县”等称号。</w:t>
      </w:r>
    </w:p>
    <w:p w14:paraId="059F76C9">
      <w:pPr>
        <w:adjustRightInd w:val="0"/>
        <w:spacing w:line="520" w:lineRule="exact"/>
        <w:ind w:firstLine="640" w:firstLineChars="200"/>
        <w:rPr>
          <w:rFonts w:ascii="Times New Roman" w:hAnsi="Times New Roman" w:eastAsia="仿宋_GB2312" w:cs="Times New Roman"/>
          <w:bCs/>
          <w:sz w:val="32"/>
          <w:szCs w:val="32"/>
        </w:rPr>
      </w:pPr>
      <w:r>
        <w:rPr>
          <w:rFonts w:hint="eastAsia" w:ascii="Times New Roman" w:hAnsi="Times New Roman" w:eastAsia="黑体" w:cs="Times New Roman"/>
          <w:sz w:val="32"/>
          <w:szCs w:val="32"/>
        </w:rPr>
        <w:t>党的建设全面加强</w:t>
      </w:r>
      <w:r>
        <w:rPr>
          <w:rFonts w:hint="eastAsia" w:ascii="Times New Roman" w:hAnsi="Times New Roman" w:eastAsia="黑体" w:cs="Times New Roman"/>
          <w:b/>
          <w:bCs/>
          <w:sz w:val="32"/>
          <w:szCs w:val="32"/>
        </w:rPr>
        <w:t>，</w:t>
      </w:r>
      <w:r>
        <w:rPr>
          <w:rFonts w:hint="eastAsia" w:ascii="Times New Roman" w:hAnsi="Times New Roman" w:eastAsia="仿宋_GB2312" w:cs="Times New Roman"/>
          <w:bCs/>
          <w:sz w:val="32"/>
          <w:szCs w:val="32"/>
        </w:rPr>
        <w:t>大党建统领大发展的工作格局初步形成，“两学一做”学习教育、“不忘初心、牢记使命”主题教育成效显著</w:t>
      </w:r>
      <w:r>
        <w:rPr>
          <w:rFonts w:hint="eastAsia" w:ascii="Times New Roman" w:hAnsi="Times New Roman" w:eastAsia="仿宋_GB2312" w:cs="Times New Roman"/>
          <w:sz w:val="32"/>
          <w:szCs w:val="32"/>
        </w:rPr>
        <w:t>，全面从严治党纵深推进，群众身边的“四风”问题和腐败问题得到有力惩治，风清气正的政治生态进一步巩固。全县政治生态持续向好，</w:t>
      </w:r>
      <w:r>
        <w:rPr>
          <w:rFonts w:hint="eastAsia" w:ascii="Times New Roman" w:hAnsi="Times New Roman" w:eastAsia="仿宋_GB2312" w:cs="Times New Roman"/>
          <w:bCs/>
          <w:sz w:val="32"/>
          <w:szCs w:val="32"/>
        </w:rPr>
        <w:t>干部群众精神面貌持续向上，高质量发展动能持续增强，社会和谐稳定局面持续巩固，全面建成小康社会胜利在望，为开启</w:t>
      </w:r>
      <w:r>
        <w:rPr>
          <w:rFonts w:hint="eastAsia" w:ascii="Times New Roman" w:hAnsi="Times New Roman" w:eastAsia="仿宋_GB2312" w:cs="Times New Roman"/>
          <w:bCs/>
          <w:sz w:val="32"/>
          <w:szCs w:val="32"/>
          <w:lang w:eastAsia="zh-CN"/>
        </w:rPr>
        <w:t>全面建设社会主义现代化国家新征程</w:t>
      </w:r>
      <w:r>
        <w:rPr>
          <w:rFonts w:hint="eastAsia" w:ascii="Times New Roman" w:hAnsi="Times New Roman" w:eastAsia="仿宋_GB2312" w:cs="Times New Roman"/>
          <w:bCs/>
          <w:sz w:val="32"/>
          <w:szCs w:val="32"/>
        </w:rPr>
        <w:t>奠定了坚实基础。</w:t>
      </w:r>
    </w:p>
    <w:p w14:paraId="6FE3128D">
      <w:pPr>
        <w:tabs>
          <w:tab w:val="center" w:pos="4153"/>
          <w:tab w:val="right" w:pos="8306"/>
        </w:tabs>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“十三五”时期息烽取得的显著成绩，最根本得益于以习近平同志为核心的党中央坚强领导，有习近平新时代中国特色社会主义思想指引，有省委、市委的关心和厚爱，</w:t>
      </w:r>
      <w:r>
        <w:rPr>
          <w:rFonts w:hint="eastAsia" w:ascii="Times New Roman" w:hAnsi="Times New Roman" w:eastAsia="仿宋_GB2312" w:cs="Times New Roman"/>
          <w:bCs/>
          <w:kern w:val="0"/>
          <w:sz w:val="32"/>
          <w:szCs w:val="32"/>
          <w:lang w:eastAsia="zh-CN"/>
        </w:rPr>
        <w:t>有县委的正确领导，</w:t>
      </w:r>
      <w:r>
        <w:rPr>
          <w:rFonts w:hint="eastAsia" w:ascii="Times New Roman" w:hAnsi="Times New Roman" w:eastAsia="仿宋_GB2312" w:cs="Times New Roman"/>
          <w:bCs/>
          <w:kern w:val="0"/>
          <w:sz w:val="32"/>
          <w:szCs w:val="32"/>
        </w:rPr>
        <w:t>有全县广大干部群众的凝心聚力、真抓实干。“十四五”新征程已经开启，</w:t>
      </w:r>
      <w:r>
        <w:rPr>
          <w:rFonts w:hint="eastAsia" w:ascii="Times New Roman" w:hAnsi="Times New Roman" w:eastAsia="仿宋_GB2312" w:cs="Times New Roman"/>
          <w:bCs/>
          <w:kern w:val="0"/>
          <w:sz w:val="32"/>
          <w:szCs w:val="32"/>
          <w:lang w:eastAsia="zh-CN"/>
        </w:rPr>
        <w:t>全县上下</w:t>
      </w:r>
      <w:r>
        <w:rPr>
          <w:rFonts w:hint="eastAsia" w:ascii="Times New Roman" w:hAnsi="Times New Roman" w:eastAsia="仿宋_GB2312" w:cs="Times New Roman"/>
          <w:bCs/>
          <w:kern w:val="0"/>
          <w:sz w:val="32"/>
          <w:szCs w:val="32"/>
        </w:rPr>
        <w:t>要增强“四个意识”、坚定“四个自信”、做到“两个维护”，切实把思想和行动统一到中央</w:t>
      </w:r>
      <w:r>
        <w:rPr>
          <w:rFonts w:hint="eastAsia" w:ascii="Times New Roman" w:hAnsi="Times New Roman" w:eastAsia="仿宋_GB2312" w:cs="Times New Roman"/>
          <w:bCs/>
          <w:kern w:val="0"/>
          <w:sz w:val="32"/>
          <w:szCs w:val="32"/>
          <w:lang w:eastAsia="zh-CN"/>
        </w:rPr>
        <w:t>和</w:t>
      </w:r>
      <w:r>
        <w:rPr>
          <w:rFonts w:hint="eastAsia" w:ascii="Times New Roman" w:hAnsi="Times New Roman" w:eastAsia="仿宋_GB2312" w:cs="Times New Roman"/>
          <w:bCs/>
          <w:kern w:val="0"/>
          <w:sz w:val="32"/>
          <w:szCs w:val="32"/>
        </w:rPr>
        <w:t>省委、市委</w:t>
      </w:r>
      <w:r>
        <w:rPr>
          <w:rFonts w:hint="eastAsia" w:ascii="Times New Roman" w:hAnsi="Times New Roman" w:eastAsia="仿宋_GB2312" w:cs="Times New Roman"/>
          <w:bCs/>
          <w:kern w:val="0"/>
          <w:sz w:val="32"/>
          <w:szCs w:val="32"/>
          <w:lang w:eastAsia="zh-CN"/>
        </w:rPr>
        <w:t>、县委</w:t>
      </w:r>
      <w:r>
        <w:rPr>
          <w:rFonts w:hint="eastAsia" w:ascii="Times New Roman" w:hAnsi="Times New Roman" w:eastAsia="仿宋_GB2312" w:cs="Times New Roman"/>
          <w:bCs/>
          <w:kern w:val="0"/>
          <w:sz w:val="32"/>
          <w:szCs w:val="32"/>
        </w:rPr>
        <w:t>的决策部署上来，以实干实绩体现息烽担当、</w:t>
      </w:r>
      <w:r>
        <w:rPr>
          <w:rFonts w:hint="eastAsia" w:ascii="Times New Roman" w:hAnsi="Times New Roman" w:eastAsia="仿宋_GB2312" w:cs="Times New Roman"/>
          <w:sz w:val="32"/>
          <w:szCs w:val="32"/>
        </w:rPr>
        <w:t>作出息烽贡献</w:t>
      </w:r>
      <w:r>
        <w:rPr>
          <w:rFonts w:hint="eastAsia" w:ascii="Times New Roman" w:hAnsi="Times New Roman" w:eastAsia="仿宋_GB2312" w:cs="Times New Roman"/>
          <w:bCs/>
          <w:kern w:val="0"/>
          <w:sz w:val="32"/>
          <w:szCs w:val="32"/>
        </w:rPr>
        <w:t>，在“强省会”战略和贵阳贵安高质量发展中展现息烽作为。</w:t>
      </w:r>
    </w:p>
    <w:p w14:paraId="54384BF3">
      <w:pPr>
        <w:pStyle w:val="6"/>
        <w:keepNext/>
        <w:rPr>
          <w:rFonts w:ascii="黑体" w:hAnsi="黑体"/>
          <w:b/>
          <w:bCs/>
        </w:rPr>
      </w:pPr>
    </w:p>
    <w:p w14:paraId="749B867D">
      <w:pPr>
        <w:rPr>
          <w:rFonts w:ascii="黑体" w:hAnsi="黑体"/>
          <w:b/>
          <w:bCs/>
        </w:rPr>
      </w:pPr>
    </w:p>
    <w:p w14:paraId="530E748D">
      <w:pPr>
        <w:pStyle w:val="10"/>
        <w:rPr>
          <w:rFonts w:ascii="黑体" w:hAnsi="黑体"/>
          <w:b/>
          <w:bCs/>
        </w:rPr>
      </w:pPr>
    </w:p>
    <w:p w14:paraId="061CFAAA">
      <w:pPr>
        <w:rPr>
          <w:rFonts w:ascii="黑体" w:hAnsi="黑体"/>
          <w:b/>
          <w:bCs/>
        </w:rPr>
      </w:pPr>
    </w:p>
    <w:p w14:paraId="653F4B8B">
      <w:pPr>
        <w:pStyle w:val="10"/>
        <w:rPr>
          <w:rFonts w:ascii="黑体" w:hAnsi="黑体"/>
          <w:b/>
          <w:bCs/>
        </w:rPr>
      </w:pPr>
    </w:p>
    <w:p w14:paraId="318D39C7">
      <w:pPr>
        <w:rPr>
          <w:rFonts w:ascii="黑体" w:hAnsi="黑体"/>
          <w:b/>
          <w:bCs/>
        </w:rPr>
      </w:pPr>
    </w:p>
    <w:p w14:paraId="5403F681">
      <w:pPr>
        <w:pStyle w:val="10"/>
        <w:rPr>
          <w:rFonts w:ascii="黑体" w:hAnsi="黑体"/>
          <w:b/>
          <w:bCs/>
        </w:rPr>
      </w:pPr>
    </w:p>
    <w:p w14:paraId="51A8B60E">
      <w:pPr>
        <w:rPr>
          <w:rFonts w:ascii="黑体" w:hAnsi="黑体"/>
          <w:b/>
          <w:bCs/>
        </w:rPr>
      </w:pPr>
    </w:p>
    <w:p w14:paraId="75CECC4D">
      <w:pPr>
        <w:pStyle w:val="10"/>
        <w:rPr>
          <w:rFonts w:ascii="黑体" w:hAnsi="黑体"/>
          <w:b/>
          <w:bCs/>
        </w:rPr>
      </w:pPr>
    </w:p>
    <w:p w14:paraId="2DF6467D">
      <w:pPr>
        <w:rPr>
          <w:rFonts w:ascii="黑体" w:hAnsi="黑体"/>
          <w:b/>
          <w:bCs/>
        </w:rPr>
      </w:pPr>
    </w:p>
    <w:p w14:paraId="28EB1020">
      <w:pPr>
        <w:pStyle w:val="10"/>
        <w:rPr>
          <w:rFonts w:ascii="黑体" w:hAnsi="黑体"/>
          <w:b/>
          <w:bCs/>
        </w:rPr>
      </w:pPr>
    </w:p>
    <w:p w14:paraId="173FC4D6">
      <w:pPr>
        <w:rPr>
          <w:rFonts w:ascii="黑体" w:hAnsi="黑体"/>
          <w:b/>
          <w:bCs/>
        </w:rPr>
      </w:pPr>
    </w:p>
    <w:p w14:paraId="006AE902">
      <w:pPr>
        <w:pStyle w:val="10"/>
        <w:rPr>
          <w:rFonts w:ascii="黑体" w:hAnsi="黑体"/>
          <w:b/>
          <w:bCs/>
        </w:rPr>
      </w:pPr>
    </w:p>
    <w:p w14:paraId="4E016801">
      <w:pPr>
        <w:rPr>
          <w:rFonts w:ascii="黑体" w:hAnsi="黑体"/>
          <w:b/>
          <w:bCs/>
        </w:rPr>
      </w:pPr>
    </w:p>
    <w:p w14:paraId="66282D2D">
      <w:pPr>
        <w:pStyle w:val="10"/>
        <w:rPr>
          <w:rFonts w:ascii="黑体" w:hAnsi="黑体"/>
          <w:b/>
          <w:bCs/>
        </w:rPr>
      </w:pPr>
    </w:p>
    <w:p w14:paraId="0F515D2B">
      <w:pPr>
        <w:rPr>
          <w:rFonts w:ascii="黑体" w:hAnsi="黑体"/>
          <w:b/>
          <w:bCs/>
        </w:rPr>
      </w:pPr>
    </w:p>
    <w:p w14:paraId="3C35704C">
      <w:pPr>
        <w:pStyle w:val="10"/>
        <w:rPr>
          <w:rFonts w:ascii="黑体" w:hAnsi="黑体"/>
          <w:b/>
          <w:bCs/>
        </w:rPr>
      </w:pPr>
    </w:p>
    <w:p w14:paraId="5F323E1E">
      <w:pPr>
        <w:rPr>
          <w:rFonts w:ascii="黑体" w:hAnsi="黑体"/>
          <w:b/>
          <w:bCs/>
        </w:rPr>
      </w:pPr>
    </w:p>
    <w:p w14:paraId="5CA8438E">
      <w:pPr>
        <w:pStyle w:val="10"/>
        <w:rPr>
          <w:rFonts w:ascii="黑体" w:hAnsi="黑体"/>
          <w:b/>
          <w:bCs/>
        </w:rPr>
      </w:pPr>
    </w:p>
    <w:p w14:paraId="7F792684">
      <w:pPr>
        <w:rPr>
          <w:rFonts w:ascii="黑体" w:hAnsi="黑体"/>
          <w:b/>
          <w:bCs/>
        </w:rPr>
      </w:pPr>
    </w:p>
    <w:p w14:paraId="7277F704">
      <w:pPr>
        <w:pStyle w:val="10"/>
        <w:rPr>
          <w:rFonts w:ascii="黑体" w:hAnsi="黑体"/>
          <w:b/>
          <w:bCs/>
        </w:rPr>
      </w:pPr>
    </w:p>
    <w:p w14:paraId="7384BE99">
      <w:pPr>
        <w:rPr>
          <w:rFonts w:ascii="黑体" w:hAnsi="黑体"/>
          <w:b/>
          <w:bCs/>
        </w:rPr>
      </w:pPr>
    </w:p>
    <w:p w14:paraId="64E982D7">
      <w:pPr>
        <w:pStyle w:val="10"/>
        <w:rPr>
          <w:rFonts w:ascii="黑体" w:hAnsi="黑体"/>
          <w:b/>
          <w:bCs/>
        </w:rPr>
      </w:pPr>
    </w:p>
    <w:p w14:paraId="10327427">
      <w:pPr>
        <w:rPr>
          <w:rFonts w:ascii="黑体" w:hAnsi="黑体"/>
          <w:b/>
          <w:bCs/>
        </w:rPr>
      </w:pPr>
    </w:p>
    <w:p w14:paraId="38A653FD">
      <w:pPr>
        <w:pStyle w:val="10"/>
        <w:rPr>
          <w:rFonts w:ascii="黑体" w:hAnsi="黑体"/>
          <w:b/>
          <w:bCs/>
        </w:rPr>
      </w:pPr>
    </w:p>
    <w:p w14:paraId="1034C49E">
      <w:pPr>
        <w:rPr>
          <w:rFonts w:ascii="黑体" w:hAnsi="黑体"/>
          <w:b/>
          <w:bCs/>
        </w:rPr>
        <w:sectPr>
          <w:footerReference r:id="rId5" w:type="default"/>
          <w:pgSz w:w="11906" w:h="16838"/>
          <w:pgMar w:top="1440" w:right="1800" w:bottom="1440" w:left="1800" w:header="851" w:footer="992" w:gutter="0"/>
          <w:pgNumType w:fmt="decimal"/>
          <w:cols w:space="720" w:num="1"/>
          <w:docGrid w:type="lines" w:linePitch="312" w:charSpace="0"/>
        </w:sectPr>
      </w:pPr>
    </w:p>
    <w:p w14:paraId="1449F560">
      <w:pPr>
        <w:jc w:val="center"/>
        <w:rPr>
          <w:rFonts w:ascii="宋体" w:hAnsi="宋体" w:eastAsia="宋体" w:cs="宋体"/>
          <w:b/>
          <w:bCs/>
          <w:sz w:val="32"/>
          <w:szCs w:val="32"/>
        </w:rPr>
      </w:pPr>
      <w:r>
        <w:rPr>
          <w:rFonts w:hint="eastAsia" w:ascii="宋体" w:hAnsi="宋体" w:eastAsia="宋体" w:cs="宋体"/>
          <w:b/>
          <w:bCs/>
          <w:sz w:val="32"/>
          <w:szCs w:val="32"/>
        </w:rPr>
        <w:t>息烽县国民经济和社会发展第十三个五年规划指标完成情况表</w:t>
      </w:r>
    </w:p>
    <w:tbl>
      <w:tblPr>
        <w:tblStyle w:val="17"/>
        <w:tblpPr w:leftFromText="180" w:rightFromText="180" w:vertAnchor="text" w:horzAnchor="page" w:tblpX="2847" w:tblpY="2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0"/>
        <w:gridCol w:w="350"/>
        <w:gridCol w:w="2366"/>
        <w:gridCol w:w="1170"/>
        <w:gridCol w:w="1110"/>
        <w:gridCol w:w="1080"/>
        <w:gridCol w:w="1095"/>
        <w:gridCol w:w="1215"/>
        <w:gridCol w:w="1080"/>
        <w:gridCol w:w="1200"/>
      </w:tblGrid>
      <w:tr w14:paraId="2B2F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54D5F7">
            <w:pPr>
              <w:widowControl/>
              <w:jc w:val="center"/>
              <w:textAlignment w:val="center"/>
              <w:rPr>
                <w:rFonts w:ascii="黑体" w:hAnsi="黑体" w:eastAsia="黑体"/>
                <w:b/>
                <w:szCs w:val="21"/>
              </w:rPr>
            </w:pPr>
            <w:r>
              <w:rPr>
                <w:rFonts w:hint="eastAsia" w:ascii="黑体" w:hAnsi="黑体" w:eastAsia="黑体"/>
                <w:b/>
                <w:kern w:val="0"/>
                <w:szCs w:val="21"/>
              </w:rPr>
              <w:t>类别</w:t>
            </w:r>
          </w:p>
        </w:tc>
        <w:tc>
          <w:tcPr>
            <w:tcW w:w="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E8646F">
            <w:pPr>
              <w:widowControl/>
              <w:jc w:val="center"/>
              <w:textAlignment w:val="center"/>
              <w:rPr>
                <w:rFonts w:ascii="黑体" w:hAnsi="黑体" w:eastAsia="黑体"/>
                <w:b/>
                <w:szCs w:val="21"/>
              </w:rPr>
            </w:pPr>
            <w:r>
              <w:rPr>
                <w:rFonts w:hint="eastAsia" w:ascii="黑体" w:hAnsi="黑体" w:eastAsia="黑体"/>
                <w:b/>
                <w:kern w:val="0"/>
                <w:szCs w:val="21"/>
              </w:rPr>
              <w:t>序号</w:t>
            </w:r>
          </w:p>
        </w:tc>
        <w:tc>
          <w:tcPr>
            <w:tcW w:w="2366" w:type="dxa"/>
            <w:vMerge w:val="restart"/>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14:paraId="664AE7EA">
            <w:pPr>
              <w:widowControl/>
              <w:jc w:val="center"/>
              <w:textAlignment w:val="center"/>
              <w:rPr>
                <w:rFonts w:ascii="黑体" w:hAnsi="黑体" w:eastAsia="黑体"/>
                <w:b/>
                <w:szCs w:val="21"/>
              </w:rPr>
            </w:pPr>
            <w:r>
              <w:rPr>
                <w:rFonts w:hint="eastAsia" w:ascii="黑体" w:hAnsi="黑体" w:eastAsia="黑体"/>
                <w:b/>
                <w:kern w:val="0"/>
                <w:szCs w:val="21"/>
              </w:rPr>
              <w:t>指标名称</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2491CAA1">
            <w:pPr>
              <w:widowControl/>
              <w:jc w:val="center"/>
              <w:textAlignment w:val="center"/>
              <w:rPr>
                <w:rFonts w:ascii="黑体" w:hAnsi="黑体" w:eastAsia="黑体"/>
                <w:b/>
                <w:kern w:val="0"/>
                <w:szCs w:val="21"/>
              </w:rPr>
            </w:pPr>
            <w:r>
              <w:rPr>
                <w:rFonts w:hint="eastAsia" w:ascii="黑体" w:hAnsi="黑体" w:eastAsia="黑体"/>
                <w:b/>
                <w:kern w:val="0"/>
                <w:szCs w:val="21"/>
              </w:rPr>
              <w:t xml:space="preserve">规划目标（2016-2020）  </w:t>
            </w:r>
          </w:p>
        </w:tc>
        <w:tc>
          <w:tcPr>
            <w:tcW w:w="2175" w:type="dxa"/>
            <w:gridSpan w:val="2"/>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3B48EB0E">
            <w:pPr>
              <w:widowControl/>
              <w:jc w:val="center"/>
              <w:textAlignment w:val="center"/>
              <w:rPr>
                <w:rFonts w:ascii="黑体" w:hAnsi="黑体" w:eastAsia="黑体"/>
                <w:b/>
                <w:szCs w:val="21"/>
              </w:rPr>
            </w:pPr>
            <w:r>
              <w:rPr>
                <w:rFonts w:hint="eastAsia" w:ascii="黑体" w:hAnsi="黑体" w:eastAsia="黑体"/>
                <w:b/>
                <w:kern w:val="0"/>
                <w:szCs w:val="21"/>
              </w:rPr>
              <w:t>2020年</w:t>
            </w:r>
            <w:r>
              <w:rPr>
                <w:rFonts w:hint="eastAsia" w:ascii="黑体" w:hAnsi="黑体" w:eastAsia="黑体"/>
                <w:b/>
                <w:kern w:val="0"/>
                <w:szCs w:val="21"/>
                <w:lang w:eastAsia="zh-CN"/>
              </w:rPr>
              <w:t>（</w:t>
            </w:r>
            <w:r>
              <w:rPr>
                <w:rFonts w:hint="eastAsia" w:ascii="黑体" w:hAnsi="黑体" w:eastAsia="黑体"/>
                <w:b/>
                <w:kern w:val="0"/>
                <w:szCs w:val="21"/>
                <w:lang w:val="en-US" w:eastAsia="zh-CN"/>
              </w:rPr>
              <w:t>预计）完成</w:t>
            </w:r>
          </w:p>
        </w:tc>
        <w:tc>
          <w:tcPr>
            <w:tcW w:w="2295" w:type="dxa"/>
            <w:gridSpan w:val="2"/>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2E5D74DE">
            <w:pPr>
              <w:widowControl/>
              <w:jc w:val="center"/>
              <w:textAlignment w:val="center"/>
              <w:rPr>
                <w:rFonts w:ascii="黑体" w:hAnsi="黑体" w:eastAsia="黑体"/>
                <w:b/>
                <w:kern w:val="0"/>
                <w:szCs w:val="21"/>
              </w:rPr>
            </w:pPr>
            <w:r>
              <w:rPr>
                <w:rFonts w:hint="eastAsia" w:ascii="黑体" w:hAnsi="黑体" w:eastAsia="黑体"/>
                <w:b/>
                <w:kern w:val="0"/>
                <w:szCs w:val="21"/>
              </w:rPr>
              <w:t>完成目标（2016-2020）</w:t>
            </w:r>
          </w:p>
        </w:tc>
        <w:tc>
          <w:tcPr>
            <w:tcW w:w="120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14:paraId="195D079C">
            <w:pPr>
              <w:widowControl/>
              <w:jc w:val="center"/>
              <w:textAlignment w:val="center"/>
              <w:rPr>
                <w:rFonts w:ascii="黑体" w:hAnsi="黑体" w:eastAsia="黑体"/>
                <w:b/>
                <w:kern w:val="0"/>
                <w:szCs w:val="21"/>
              </w:rPr>
            </w:pPr>
            <w:r>
              <w:rPr>
                <w:rFonts w:hint="eastAsia" w:ascii="黑体" w:hAnsi="黑体" w:eastAsia="黑体"/>
                <w:b/>
                <w:kern w:val="0"/>
                <w:szCs w:val="21"/>
              </w:rPr>
              <w:t>评估情况</w:t>
            </w:r>
          </w:p>
        </w:tc>
      </w:tr>
      <w:tr w14:paraId="79F9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C3A189">
            <w:pPr>
              <w:jc w:val="center"/>
              <w:rPr>
                <w:rFonts w:ascii="黑体" w:hAnsi="黑体" w:eastAsia="黑体"/>
                <w:b/>
                <w:szCs w:val="21"/>
              </w:rPr>
            </w:pPr>
          </w:p>
        </w:tc>
        <w:tc>
          <w:tcPr>
            <w:tcW w:w="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C932C4">
            <w:pPr>
              <w:jc w:val="center"/>
              <w:rPr>
                <w:rFonts w:ascii="黑体" w:hAnsi="黑体" w:eastAsia="黑体"/>
                <w:b/>
                <w:szCs w:val="21"/>
              </w:rPr>
            </w:pPr>
          </w:p>
        </w:tc>
        <w:tc>
          <w:tcPr>
            <w:tcW w:w="2366" w:type="dxa"/>
            <w:vMerge w:val="continue"/>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14:paraId="35343805">
            <w:pPr>
              <w:jc w:val="center"/>
              <w:rPr>
                <w:rFonts w:ascii="黑体" w:hAnsi="黑体" w:eastAsia="黑体"/>
                <w:b/>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090ED2B4">
            <w:pPr>
              <w:jc w:val="center"/>
              <w:rPr>
                <w:rFonts w:ascii="黑体" w:hAnsi="黑体" w:eastAsia="黑体"/>
                <w:b/>
                <w:szCs w:val="21"/>
              </w:rPr>
            </w:pPr>
            <w:r>
              <w:rPr>
                <w:rFonts w:hint="eastAsia" w:ascii="黑体" w:hAnsi="黑体" w:eastAsia="黑体"/>
                <w:b/>
                <w:kern w:val="0"/>
                <w:szCs w:val="21"/>
              </w:rPr>
              <w:t>绝对值</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720EDBEA">
            <w:pPr>
              <w:jc w:val="center"/>
              <w:rPr>
                <w:rFonts w:ascii="黑体" w:hAnsi="黑体" w:eastAsia="黑体"/>
                <w:b/>
                <w:szCs w:val="21"/>
              </w:rPr>
            </w:pPr>
            <w:r>
              <w:rPr>
                <w:rFonts w:hint="eastAsia" w:ascii="黑体" w:hAnsi="黑体" w:eastAsia="黑体"/>
                <w:b/>
                <w:kern w:val="0"/>
                <w:szCs w:val="21"/>
              </w:rPr>
              <w:t>年均增长（%）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26F0BF">
            <w:pPr>
              <w:widowControl/>
              <w:jc w:val="center"/>
              <w:textAlignment w:val="center"/>
              <w:rPr>
                <w:rFonts w:ascii="黑体" w:hAnsi="黑体" w:eastAsia="黑体"/>
                <w:b/>
                <w:szCs w:val="21"/>
              </w:rPr>
            </w:pPr>
            <w:r>
              <w:rPr>
                <w:rFonts w:hint="eastAsia" w:ascii="黑体" w:hAnsi="黑体" w:eastAsia="黑体"/>
                <w:b/>
                <w:kern w:val="0"/>
                <w:szCs w:val="21"/>
              </w:rPr>
              <w:t>绝对值</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9D4AEA">
            <w:pPr>
              <w:widowControl/>
              <w:jc w:val="center"/>
              <w:textAlignment w:val="center"/>
              <w:rPr>
                <w:rFonts w:ascii="黑体" w:hAnsi="黑体" w:eastAsia="黑体"/>
                <w:b/>
                <w:szCs w:val="21"/>
              </w:rPr>
            </w:pPr>
            <w:r>
              <w:rPr>
                <w:rFonts w:hint="eastAsia" w:ascii="黑体" w:hAnsi="黑体" w:eastAsia="黑体"/>
                <w:b/>
                <w:kern w:val="0"/>
                <w:szCs w:val="21"/>
              </w:rPr>
              <w:t>同比增长（%）</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609D3C">
            <w:pPr>
              <w:widowControl/>
              <w:jc w:val="center"/>
              <w:textAlignment w:val="center"/>
              <w:rPr>
                <w:rFonts w:ascii="黑体" w:hAnsi="黑体" w:eastAsia="黑体"/>
                <w:b/>
                <w:kern w:val="0"/>
                <w:szCs w:val="21"/>
              </w:rPr>
            </w:pPr>
            <w:r>
              <w:rPr>
                <w:rFonts w:ascii="黑体" w:hAnsi="黑体" w:eastAsia="黑体"/>
                <w:b/>
                <w:kern w:val="0"/>
                <w:szCs w:val="21"/>
              </w:rPr>
              <w:t>绝对值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9B08A8">
            <w:pPr>
              <w:widowControl/>
              <w:jc w:val="center"/>
              <w:textAlignment w:val="center"/>
              <w:rPr>
                <w:rFonts w:ascii="黑体" w:hAnsi="黑体" w:eastAsia="黑体"/>
                <w:b/>
                <w:kern w:val="0"/>
                <w:szCs w:val="21"/>
              </w:rPr>
            </w:pPr>
            <w:r>
              <w:rPr>
                <w:rFonts w:ascii="黑体" w:hAnsi="黑体" w:eastAsia="黑体"/>
                <w:b/>
                <w:kern w:val="0"/>
                <w:szCs w:val="21"/>
              </w:rPr>
              <w:t>年均增长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9FC598">
            <w:pPr>
              <w:widowControl/>
              <w:jc w:val="center"/>
              <w:textAlignment w:val="center"/>
              <w:rPr>
                <w:rFonts w:ascii="黑体" w:hAnsi="黑体" w:eastAsia="黑体"/>
                <w:b/>
                <w:kern w:val="0"/>
                <w:szCs w:val="21"/>
              </w:rPr>
            </w:pPr>
          </w:p>
        </w:tc>
      </w:tr>
      <w:tr w14:paraId="62D109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6"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FA0289">
            <w:pPr>
              <w:widowControl/>
              <w:jc w:val="center"/>
              <w:textAlignment w:val="center"/>
              <w:rPr>
                <w:rFonts w:ascii="仿宋_GB2312" w:hAnsi="宋体" w:eastAsia="仿宋_GB2312" w:cs="仿宋_GB2312"/>
                <w:b/>
                <w:kern w:val="0"/>
                <w:sz w:val="20"/>
                <w:szCs w:val="20"/>
              </w:rPr>
            </w:pPr>
            <w:r>
              <w:rPr>
                <w:rFonts w:hint="eastAsia" w:ascii="仿宋_GB2312" w:hAnsi="宋体" w:eastAsia="仿宋_GB2312" w:cs="仿宋_GB2312"/>
                <w:b/>
                <w:kern w:val="0"/>
                <w:sz w:val="20"/>
                <w:szCs w:val="20"/>
              </w:rPr>
              <w:t>经济</w:t>
            </w:r>
          </w:p>
          <w:p w14:paraId="57248EAB">
            <w:pPr>
              <w:widowControl/>
              <w:jc w:val="center"/>
              <w:textAlignment w:val="center"/>
              <w:rPr>
                <w:rFonts w:ascii="黑体" w:hAnsi="黑体" w:eastAsia="黑体"/>
                <w:b/>
                <w:sz w:val="16"/>
                <w:szCs w:val="16"/>
              </w:rPr>
            </w:pPr>
            <w:r>
              <w:rPr>
                <w:rFonts w:hint="eastAsia" w:ascii="仿宋_GB2312" w:hAnsi="宋体" w:eastAsia="仿宋_GB2312" w:cs="仿宋_GB2312"/>
                <w:b/>
                <w:kern w:val="0"/>
                <w:sz w:val="20"/>
                <w:szCs w:val="20"/>
              </w:rPr>
              <w:t>发展</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548762">
            <w:pPr>
              <w:widowControl/>
              <w:spacing w:line="200" w:lineRule="exact"/>
              <w:jc w:val="center"/>
              <w:rPr>
                <w:rFonts w:cs="宋体"/>
                <w:kern w:val="0"/>
                <w:sz w:val="15"/>
                <w:szCs w:val="15"/>
              </w:rPr>
            </w:pPr>
            <w:r>
              <w:rPr>
                <w:rFonts w:hint="eastAsia" w:cs="宋体"/>
                <w:kern w:val="0"/>
                <w:sz w:val="15"/>
                <w:szCs w:val="15"/>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427F68">
            <w:pPr>
              <w:widowControl/>
              <w:spacing w:line="200" w:lineRule="exact"/>
              <w:jc w:val="center"/>
              <w:rPr>
                <w:rFonts w:cs="宋体"/>
                <w:kern w:val="0"/>
                <w:sz w:val="15"/>
                <w:szCs w:val="15"/>
              </w:rPr>
            </w:pPr>
            <w:r>
              <w:rPr>
                <w:rFonts w:hint="eastAsia" w:cs="宋体"/>
                <w:kern w:val="0"/>
                <w:sz w:val="15"/>
                <w:szCs w:val="15"/>
              </w:rPr>
              <w:t>地方生产总值（亿元）</w:t>
            </w:r>
          </w:p>
        </w:tc>
        <w:tc>
          <w:tcPr>
            <w:tcW w:w="1170"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61E793">
            <w:pPr>
              <w:widowControl/>
              <w:spacing w:line="200" w:lineRule="exact"/>
              <w:jc w:val="center"/>
              <w:rPr>
                <w:rFonts w:cs="宋体"/>
                <w:kern w:val="0"/>
                <w:sz w:val="15"/>
                <w:szCs w:val="15"/>
              </w:rPr>
            </w:pPr>
            <w:r>
              <w:rPr>
                <w:rFonts w:hint="eastAsia" w:cs="宋体"/>
                <w:kern w:val="0"/>
                <w:sz w:val="15"/>
                <w:szCs w:val="15"/>
              </w:rPr>
              <w:t>——</w:t>
            </w:r>
          </w:p>
        </w:tc>
        <w:tc>
          <w:tcPr>
            <w:tcW w:w="1110"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FE6F72">
            <w:pPr>
              <w:widowControl/>
              <w:spacing w:line="200" w:lineRule="exact"/>
              <w:jc w:val="center"/>
              <w:rPr>
                <w:rFonts w:cs="宋体"/>
                <w:kern w:val="0"/>
                <w:sz w:val="15"/>
                <w:szCs w:val="15"/>
              </w:rPr>
            </w:pPr>
            <w:r>
              <w:rPr>
                <w:rFonts w:hint="eastAsia" w:cs="宋体"/>
                <w:kern w:val="0"/>
                <w:sz w:val="15"/>
                <w:szCs w:val="15"/>
              </w:rPr>
              <w:t>7.51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635F2D">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152.8</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FEAB1A">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9.8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502ECC">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421C8A">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AA3A01">
            <w:pPr>
              <w:widowControl/>
              <w:spacing w:line="200" w:lineRule="exact"/>
              <w:jc w:val="center"/>
              <w:rPr>
                <w:rFonts w:cs="宋体"/>
                <w:kern w:val="0"/>
                <w:sz w:val="15"/>
                <w:szCs w:val="15"/>
              </w:rPr>
            </w:pPr>
            <w:r>
              <w:rPr>
                <w:rFonts w:hint="eastAsia" w:cs="宋体"/>
                <w:kern w:val="0"/>
                <w:sz w:val="15"/>
                <w:szCs w:val="15"/>
              </w:rPr>
              <w:t>超额完成</w:t>
            </w:r>
          </w:p>
        </w:tc>
      </w:tr>
      <w:tr w14:paraId="049759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3"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8F6090">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D29274">
            <w:pPr>
              <w:widowControl/>
              <w:spacing w:line="200" w:lineRule="exact"/>
              <w:jc w:val="center"/>
              <w:rPr>
                <w:rFonts w:cs="宋体"/>
                <w:kern w:val="0"/>
                <w:sz w:val="15"/>
                <w:szCs w:val="15"/>
              </w:rPr>
            </w:pPr>
            <w:r>
              <w:rPr>
                <w:rFonts w:hint="eastAsia" w:cs="宋体"/>
                <w:kern w:val="0"/>
                <w:sz w:val="15"/>
                <w:szCs w:val="15"/>
              </w:rPr>
              <w:t>2</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9512A6">
            <w:pPr>
              <w:widowControl/>
              <w:spacing w:line="200" w:lineRule="exact"/>
              <w:jc w:val="center"/>
              <w:rPr>
                <w:rFonts w:cs="宋体"/>
                <w:kern w:val="0"/>
                <w:sz w:val="15"/>
                <w:szCs w:val="15"/>
              </w:rPr>
            </w:pPr>
            <w:r>
              <w:rPr>
                <w:rFonts w:hint="eastAsia" w:cs="宋体"/>
                <w:kern w:val="0"/>
                <w:sz w:val="15"/>
                <w:szCs w:val="15"/>
              </w:rPr>
              <w:t>#第一产业（亿元）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5C91D0">
            <w:pPr>
              <w:widowControl/>
              <w:spacing w:line="200" w:lineRule="exact"/>
              <w:jc w:val="center"/>
              <w:rPr>
                <w:rFonts w:cs="宋体"/>
                <w:kern w:val="0"/>
                <w:sz w:val="15"/>
                <w:szCs w:val="15"/>
              </w:rPr>
            </w:pPr>
            <w:r>
              <w:rPr>
                <w:rFonts w:hint="eastAsia" w:cs="宋体"/>
                <w:kern w:val="0"/>
                <w:sz w:val="15"/>
                <w:szCs w:val="15"/>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0B7DED">
            <w:pPr>
              <w:widowControl/>
              <w:spacing w:line="200" w:lineRule="exact"/>
              <w:jc w:val="center"/>
              <w:rPr>
                <w:rFonts w:cs="宋体"/>
                <w:kern w:val="0"/>
                <w:sz w:val="15"/>
                <w:szCs w:val="15"/>
              </w:rPr>
            </w:pPr>
            <w:r>
              <w:rPr>
                <w:rFonts w:hint="eastAsia" w:cs="宋体"/>
                <w:kern w:val="0"/>
                <w:sz w:val="15"/>
                <w:szCs w:val="15"/>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596DC6">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24.38</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D8AA87">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6.7</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46684B">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7355F4">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082AEE">
            <w:pPr>
              <w:widowControl/>
              <w:spacing w:line="200" w:lineRule="exact"/>
              <w:jc w:val="center"/>
              <w:rPr>
                <w:rFonts w:cs="宋体"/>
                <w:kern w:val="0"/>
                <w:sz w:val="15"/>
                <w:szCs w:val="15"/>
              </w:rPr>
            </w:pPr>
            <w:r>
              <w:rPr>
                <w:rFonts w:hint="eastAsia" w:cs="宋体"/>
                <w:kern w:val="0"/>
                <w:sz w:val="15"/>
                <w:szCs w:val="15"/>
              </w:rPr>
              <w:t>完成</w:t>
            </w:r>
          </w:p>
        </w:tc>
      </w:tr>
      <w:tr w14:paraId="6EA77D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8"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F91BFB">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AE35D8">
            <w:pPr>
              <w:widowControl/>
              <w:spacing w:line="200" w:lineRule="exact"/>
              <w:jc w:val="center"/>
              <w:rPr>
                <w:rFonts w:cs="宋体"/>
                <w:kern w:val="0"/>
                <w:sz w:val="15"/>
                <w:szCs w:val="15"/>
              </w:rPr>
            </w:pPr>
            <w:r>
              <w:rPr>
                <w:rFonts w:hint="eastAsia" w:cs="宋体"/>
                <w:kern w:val="0"/>
                <w:sz w:val="15"/>
                <w:szCs w:val="15"/>
              </w:rPr>
              <w:t>3</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A28658">
            <w:pPr>
              <w:widowControl/>
              <w:spacing w:line="200" w:lineRule="exact"/>
              <w:jc w:val="center"/>
              <w:rPr>
                <w:rFonts w:cs="宋体"/>
                <w:kern w:val="0"/>
                <w:sz w:val="15"/>
                <w:szCs w:val="15"/>
              </w:rPr>
            </w:pPr>
            <w:r>
              <w:rPr>
                <w:rFonts w:hint="eastAsia" w:cs="宋体"/>
                <w:kern w:val="0"/>
                <w:sz w:val="15"/>
                <w:szCs w:val="15"/>
              </w:rPr>
              <w:t>#第二产业（亿元）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E5CE38">
            <w:pPr>
              <w:widowControl/>
              <w:spacing w:line="200" w:lineRule="exact"/>
              <w:jc w:val="center"/>
              <w:rPr>
                <w:rFonts w:cs="宋体"/>
                <w:kern w:val="0"/>
                <w:sz w:val="15"/>
                <w:szCs w:val="15"/>
              </w:rPr>
            </w:pPr>
            <w:r>
              <w:rPr>
                <w:rFonts w:hint="eastAsia" w:cs="宋体"/>
                <w:kern w:val="0"/>
                <w:sz w:val="15"/>
                <w:szCs w:val="15"/>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1C49AB">
            <w:pPr>
              <w:widowControl/>
              <w:spacing w:line="200" w:lineRule="exact"/>
              <w:jc w:val="center"/>
              <w:rPr>
                <w:rFonts w:cs="宋体"/>
                <w:kern w:val="0"/>
                <w:sz w:val="15"/>
                <w:szCs w:val="15"/>
              </w:rPr>
            </w:pPr>
            <w:r>
              <w:rPr>
                <w:rFonts w:hint="eastAsia" w:cs="宋体"/>
                <w:kern w:val="0"/>
                <w:sz w:val="15"/>
                <w:szCs w:val="15"/>
              </w:rPr>
              <w:t>5.42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6C0993">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49.3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0C548D">
            <w:pPr>
              <w:widowControl/>
              <w:spacing w:line="200" w:lineRule="exact"/>
              <w:jc w:val="center"/>
              <w:rPr>
                <w:rFonts w:hint="eastAsia" w:eastAsia="等线" w:cs="宋体"/>
                <w:kern w:val="0"/>
                <w:sz w:val="15"/>
                <w:szCs w:val="15"/>
                <w:lang w:eastAsia="zh-CN"/>
              </w:rPr>
            </w:pPr>
            <w:r>
              <w:rPr>
                <w:rFonts w:hint="eastAsia" w:cs="宋体"/>
                <w:kern w:val="0"/>
                <w:sz w:val="15"/>
                <w:szCs w:val="15"/>
              </w:rPr>
              <w:t>10.</w:t>
            </w:r>
            <w:r>
              <w:rPr>
                <w:rFonts w:hint="eastAsia" w:cs="宋体"/>
                <w:kern w:val="0"/>
                <w:sz w:val="15"/>
                <w:szCs w:val="15"/>
                <w:lang w:val="en-US" w:eastAsia="zh-CN"/>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87F10A">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E0C82C">
            <w:pPr>
              <w:widowControl/>
              <w:spacing w:line="200" w:lineRule="exact"/>
              <w:jc w:val="center"/>
              <w:rPr>
                <w:rFonts w:hint="eastAsia" w:eastAsia="等线" w:cs="宋体"/>
                <w:kern w:val="0"/>
                <w:sz w:val="15"/>
                <w:szCs w:val="15"/>
                <w:lang w:eastAsia="zh-CN"/>
              </w:rPr>
            </w:pPr>
            <w:r>
              <w:rPr>
                <w:rFonts w:hint="eastAsia" w:cs="宋体"/>
                <w:kern w:val="0"/>
                <w:sz w:val="15"/>
                <w:szCs w:val="15"/>
              </w:rPr>
              <w:t>6.</w:t>
            </w:r>
            <w:r>
              <w:rPr>
                <w:rFonts w:hint="eastAsia" w:cs="宋体"/>
                <w:kern w:val="0"/>
                <w:sz w:val="15"/>
                <w:szCs w:val="15"/>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CE78A1">
            <w:pPr>
              <w:widowControl/>
              <w:spacing w:line="200" w:lineRule="exact"/>
              <w:jc w:val="center"/>
              <w:rPr>
                <w:rFonts w:cs="宋体"/>
                <w:kern w:val="0"/>
                <w:sz w:val="15"/>
                <w:szCs w:val="15"/>
              </w:rPr>
            </w:pPr>
            <w:r>
              <w:rPr>
                <w:rFonts w:hint="eastAsia" w:cs="宋体"/>
                <w:kern w:val="0"/>
                <w:sz w:val="15"/>
                <w:szCs w:val="15"/>
              </w:rPr>
              <w:t>超额完成</w:t>
            </w:r>
          </w:p>
        </w:tc>
      </w:tr>
      <w:tr w14:paraId="083F41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5"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C75B4">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12423">
            <w:pPr>
              <w:widowControl/>
              <w:spacing w:line="200" w:lineRule="exact"/>
              <w:jc w:val="center"/>
              <w:rPr>
                <w:rFonts w:cs="宋体"/>
                <w:kern w:val="0"/>
                <w:sz w:val="15"/>
                <w:szCs w:val="15"/>
              </w:rPr>
            </w:pPr>
            <w:r>
              <w:rPr>
                <w:rFonts w:hint="eastAsia" w:cs="宋体"/>
                <w:kern w:val="0"/>
                <w:sz w:val="15"/>
                <w:szCs w:val="15"/>
              </w:rPr>
              <w:t>4</w:t>
            </w:r>
          </w:p>
        </w:tc>
        <w:tc>
          <w:tcPr>
            <w:tcW w:w="2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E45C0">
            <w:pPr>
              <w:widowControl/>
              <w:spacing w:line="200" w:lineRule="exact"/>
              <w:jc w:val="center"/>
              <w:rPr>
                <w:rFonts w:cs="宋体"/>
                <w:kern w:val="0"/>
                <w:sz w:val="15"/>
                <w:szCs w:val="15"/>
              </w:rPr>
            </w:pPr>
            <w:r>
              <w:rPr>
                <w:rFonts w:hint="eastAsia" w:cs="宋体"/>
                <w:kern w:val="0"/>
                <w:sz w:val="15"/>
                <w:szCs w:val="15"/>
              </w:rPr>
              <w:t>#第三产业（亿元）</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D37DA">
            <w:pPr>
              <w:widowControl/>
              <w:spacing w:line="200" w:lineRule="exact"/>
              <w:jc w:val="center"/>
              <w:rPr>
                <w:rFonts w:cs="宋体"/>
                <w:kern w:val="0"/>
                <w:sz w:val="15"/>
                <w:szCs w:val="15"/>
              </w:rPr>
            </w:pPr>
            <w:r>
              <w:rPr>
                <w:rFonts w:hint="eastAsia" w:cs="宋体"/>
                <w:kern w:val="0"/>
                <w:sz w:val="15"/>
                <w:szCs w:val="15"/>
              </w:rPr>
              <w:t>——</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DB9B2">
            <w:pPr>
              <w:widowControl/>
              <w:spacing w:line="200" w:lineRule="exact"/>
              <w:jc w:val="center"/>
              <w:rPr>
                <w:rFonts w:cs="宋体"/>
                <w:kern w:val="0"/>
                <w:sz w:val="15"/>
                <w:szCs w:val="15"/>
              </w:rPr>
            </w:pPr>
            <w:r>
              <w:rPr>
                <w:rFonts w:hint="eastAsia" w:cs="宋体"/>
                <w:kern w:val="0"/>
                <w:sz w:val="15"/>
                <w:szCs w:val="15"/>
              </w:rPr>
              <w:t>9.7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A113F">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79.13</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C330B">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10.6</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40C08">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C7136">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10.6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A8B6D">
            <w:pPr>
              <w:widowControl/>
              <w:spacing w:line="200" w:lineRule="exact"/>
              <w:jc w:val="center"/>
              <w:rPr>
                <w:rFonts w:cs="宋体"/>
                <w:kern w:val="0"/>
                <w:sz w:val="15"/>
                <w:szCs w:val="15"/>
              </w:rPr>
            </w:pPr>
            <w:r>
              <w:rPr>
                <w:rFonts w:hint="eastAsia" w:cs="宋体"/>
                <w:kern w:val="0"/>
                <w:sz w:val="15"/>
                <w:szCs w:val="15"/>
              </w:rPr>
              <w:t>完成</w:t>
            </w:r>
          </w:p>
        </w:tc>
      </w:tr>
      <w:tr w14:paraId="379B28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C3670C">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0F5C09">
            <w:pPr>
              <w:widowControl/>
              <w:spacing w:line="200" w:lineRule="exact"/>
              <w:jc w:val="center"/>
              <w:rPr>
                <w:rFonts w:cs="宋体"/>
                <w:kern w:val="0"/>
                <w:sz w:val="15"/>
                <w:szCs w:val="15"/>
              </w:rPr>
            </w:pPr>
            <w:r>
              <w:rPr>
                <w:rFonts w:hint="eastAsia" w:cs="宋体"/>
                <w:kern w:val="0"/>
                <w:sz w:val="15"/>
                <w:szCs w:val="15"/>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878200">
            <w:pPr>
              <w:widowControl/>
              <w:spacing w:line="200" w:lineRule="exact"/>
              <w:jc w:val="center"/>
              <w:rPr>
                <w:rFonts w:cs="宋体"/>
                <w:kern w:val="0"/>
                <w:sz w:val="15"/>
                <w:szCs w:val="15"/>
              </w:rPr>
            </w:pPr>
            <w:r>
              <w:rPr>
                <w:rFonts w:hint="eastAsia" w:cs="宋体"/>
                <w:kern w:val="0"/>
                <w:sz w:val="15"/>
                <w:szCs w:val="15"/>
              </w:rPr>
              <w:t>固定资产投资（亿元）（500万口径）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F74175">
            <w:pPr>
              <w:widowControl/>
              <w:spacing w:line="200" w:lineRule="exact"/>
              <w:jc w:val="center"/>
              <w:rPr>
                <w:rFonts w:cs="宋体"/>
                <w:kern w:val="0"/>
                <w:sz w:val="15"/>
                <w:szCs w:val="15"/>
              </w:rPr>
            </w:pPr>
            <w:r>
              <w:rPr>
                <w:rFonts w:hint="eastAsia" w:cs="宋体"/>
                <w:kern w:val="0"/>
                <w:sz w:val="15"/>
                <w:szCs w:val="15"/>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B50036">
            <w:pPr>
              <w:widowControl/>
              <w:spacing w:line="200" w:lineRule="exact"/>
              <w:jc w:val="center"/>
              <w:rPr>
                <w:rFonts w:cs="宋体"/>
                <w:kern w:val="0"/>
                <w:sz w:val="15"/>
                <w:szCs w:val="15"/>
              </w:rPr>
            </w:pPr>
            <w:r>
              <w:rPr>
                <w:rFonts w:hint="eastAsia" w:cs="宋体"/>
                <w:kern w:val="0"/>
                <w:sz w:val="15"/>
                <w:szCs w:val="15"/>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8AEC78">
            <w:pPr>
              <w:widowControl/>
              <w:spacing w:line="200" w:lineRule="exact"/>
              <w:jc w:val="center"/>
              <w:rPr>
                <w:rFonts w:cs="宋体"/>
                <w:kern w:val="0"/>
                <w:sz w:val="15"/>
                <w:szCs w:val="15"/>
              </w:rPr>
            </w:pPr>
            <w:r>
              <w:rPr>
                <w:rFonts w:hint="eastAsia" w:cs="宋体"/>
                <w:kern w:val="0"/>
                <w:sz w:val="15"/>
                <w:szCs w:val="15"/>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26C1D5">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FB7E7E">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0EC8D0">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10.6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AA8697">
            <w:pPr>
              <w:widowControl/>
              <w:spacing w:line="200" w:lineRule="exact"/>
              <w:jc w:val="center"/>
              <w:rPr>
                <w:rFonts w:cs="宋体"/>
                <w:kern w:val="0"/>
                <w:sz w:val="15"/>
                <w:szCs w:val="15"/>
              </w:rPr>
            </w:pPr>
            <w:r>
              <w:rPr>
                <w:rFonts w:hint="eastAsia" w:cs="宋体"/>
                <w:kern w:val="0"/>
                <w:sz w:val="15"/>
                <w:szCs w:val="15"/>
              </w:rPr>
              <w:t>基本完成</w:t>
            </w:r>
          </w:p>
        </w:tc>
      </w:tr>
      <w:tr w14:paraId="48E46A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DC76D8">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20ED93">
            <w:pPr>
              <w:widowControl/>
              <w:spacing w:line="200" w:lineRule="exact"/>
              <w:jc w:val="center"/>
              <w:rPr>
                <w:rFonts w:cs="宋体"/>
                <w:kern w:val="0"/>
                <w:sz w:val="15"/>
                <w:szCs w:val="15"/>
              </w:rPr>
            </w:pPr>
            <w:r>
              <w:rPr>
                <w:rFonts w:hint="eastAsia" w:cs="宋体"/>
                <w:kern w:val="0"/>
                <w:sz w:val="15"/>
                <w:szCs w:val="15"/>
              </w:rPr>
              <w:t>6</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E34389">
            <w:pPr>
              <w:widowControl/>
              <w:spacing w:line="200" w:lineRule="exact"/>
              <w:jc w:val="center"/>
              <w:rPr>
                <w:rFonts w:cs="宋体"/>
                <w:kern w:val="0"/>
                <w:sz w:val="15"/>
                <w:szCs w:val="15"/>
              </w:rPr>
            </w:pPr>
            <w:r>
              <w:rPr>
                <w:rFonts w:hint="eastAsia" w:cs="宋体"/>
                <w:kern w:val="0"/>
                <w:sz w:val="15"/>
                <w:szCs w:val="15"/>
              </w:rPr>
              <w:t>社会消费品零售总额（亿元）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360915">
            <w:pPr>
              <w:widowControl/>
              <w:spacing w:line="200" w:lineRule="exact"/>
              <w:jc w:val="center"/>
              <w:rPr>
                <w:rFonts w:cs="宋体"/>
                <w:kern w:val="0"/>
                <w:sz w:val="15"/>
                <w:szCs w:val="15"/>
              </w:rPr>
            </w:pPr>
            <w:r>
              <w:rPr>
                <w:rFonts w:hint="eastAsia" w:cs="宋体"/>
                <w:kern w:val="0"/>
                <w:sz w:val="15"/>
                <w:szCs w:val="15"/>
              </w:rPr>
              <w:t>25.37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7F68E2">
            <w:pPr>
              <w:widowControl/>
              <w:spacing w:line="200" w:lineRule="exact"/>
              <w:jc w:val="center"/>
              <w:rPr>
                <w:rFonts w:cs="宋体"/>
                <w:kern w:val="0"/>
                <w:sz w:val="15"/>
                <w:szCs w:val="15"/>
              </w:rPr>
            </w:pPr>
            <w:r>
              <w:rPr>
                <w:rFonts w:hint="eastAsia" w:cs="宋体"/>
                <w:kern w:val="0"/>
                <w:sz w:val="15"/>
                <w:szCs w:val="15"/>
              </w:rPr>
              <w:t>8.52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8A9E19">
            <w:pPr>
              <w:widowControl/>
              <w:spacing w:line="200" w:lineRule="exact"/>
              <w:jc w:val="center"/>
              <w:rPr>
                <w:rFonts w:hint="default" w:eastAsia="等线" w:cs="宋体"/>
                <w:kern w:val="0"/>
                <w:sz w:val="15"/>
                <w:szCs w:val="15"/>
                <w:lang w:val="en-US" w:eastAsia="zh-CN"/>
              </w:rPr>
            </w:pPr>
            <w:r>
              <w:rPr>
                <w:rFonts w:hint="eastAsia" w:cs="宋体"/>
                <w:kern w:val="0"/>
                <w:sz w:val="15"/>
                <w:szCs w:val="15"/>
              </w:rPr>
              <w:t>3</w:t>
            </w:r>
            <w:r>
              <w:rPr>
                <w:rFonts w:hint="eastAsia" w:cs="宋体"/>
                <w:kern w:val="0"/>
                <w:sz w:val="15"/>
                <w:szCs w:val="15"/>
                <w:lang w:val="en-US" w:eastAsia="zh-CN"/>
              </w:rPr>
              <w:t>7.9</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95803E">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5.6</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13FDF9">
            <w:pPr>
              <w:widowControl/>
              <w:spacing w:line="200" w:lineRule="exact"/>
              <w:jc w:val="center"/>
              <w:rPr>
                <w:rFonts w:cs="宋体"/>
                <w:kern w:val="0"/>
                <w:sz w:val="15"/>
                <w:szCs w:val="15"/>
              </w:rPr>
            </w:pPr>
            <w:r>
              <w:rPr>
                <w:rFonts w:hint="eastAsia" w:cs="宋体"/>
                <w:kern w:val="0"/>
                <w:sz w:val="15"/>
                <w:szCs w:val="15"/>
              </w:rPr>
              <w:t>39.1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D825FA">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9C3EB3">
            <w:pPr>
              <w:widowControl/>
              <w:spacing w:line="200" w:lineRule="exact"/>
              <w:jc w:val="center"/>
              <w:rPr>
                <w:rFonts w:cs="宋体"/>
                <w:kern w:val="0"/>
                <w:sz w:val="15"/>
                <w:szCs w:val="15"/>
              </w:rPr>
            </w:pPr>
            <w:r>
              <w:rPr>
                <w:rFonts w:hint="eastAsia" w:cs="宋体"/>
                <w:kern w:val="0"/>
                <w:sz w:val="15"/>
                <w:szCs w:val="15"/>
              </w:rPr>
              <w:t>超额完成</w:t>
            </w:r>
          </w:p>
        </w:tc>
      </w:tr>
      <w:tr w14:paraId="45D53B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5"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84B4BE">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73C3AC">
            <w:pPr>
              <w:widowControl/>
              <w:spacing w:line="200" w:lineRule="exact"/>
              <w:jc w:val="center"/>
              <w:rPr>
                <w:rFonts w:cs="宋体"/>
                <w:kern w:val="0"/>
                <w:sz w:val="15"/>
                <w:szCs w:val="15"/>
              </w:rPr>
            </w:pPr>
            <w:r>
              <w:rPr>
                <w:rFonts w:hint="eastAsia" w:cs="宋体"/>
                <w:kern w:val="0"/>
                <w:sz w:val="15"/>
                <w:szCs w:val="15"/>
              </w:rPr>
              <w:t>7</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22621A">
            <w:pPr>
              <w:widowControl/>
              <w:spacing w:line="200" w:lineRule="exact"/>
              <w:jc w:val="center"/>
              <w:rPr>
                <w:rFonts w:cs="宋体"/>
                <w:kern w:val="0"/>
                <w:sz w:val="15"/>
                <w:szCs w:val="15"/>
              </w:rPr>
            </w:pPr>
            <w:r>
              <w:rPr>
                <w:rFonts w:hint="eastAsia" w:cs="宋体"/>
                <w:kern w:val="0"/>
                <w:sz w:val="15"/>
                <w:szCs w:val="15"/>
              </w:rPr>
              <w:t>外贸进出口总额（万美元）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068A2E">
            <w:pPr>
              <w:widowControl/>
              <w:spacing w:line="200" w:lineRule="exact"/>
              <w:jc w:val="center"/>
              <w:rPr>
                <w:rFonts w:cs="宋体"/>
                <w:kern w:val="0"/>
                <w:sz w:val="15"/>
                <w:szCs w:val="15"/>
              </w:rPr>
            </w:pPr>
            <w:r>
              <w:rPr>
                <w:rFonts w:hint="eastAsia" w:cs="宋体"/>
                <w:kern w:val="0"/>
                <w:sz w:val="15"/>
                <w:szCs w:val="15"/>
              </w:rPr>
              <w:t>150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6910DF">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9422B5">
            <w:pPr>
              <w:widowControl/>
              <w:spacing w:line="200" w:lineRule="exact"/>
              <w:jc w:val="center"/>
              <w:rPr>
                <w:rFonts w:hint="default" w:eastAsia="等线" w:cs="宋体"/>
                <w:kern w:val="0"/>
                <w:sz w:val="15"/>
                <w:szCs w:val="15"/>
                <w:lang w:val="en-US" w:eastAsia="zh-CN"/>
              </w:rPr>
            </w:pPr>
            <w:r>
              <w:rPr>
                <w:rFonts w:hint="eastAsia" w:cs="宋体"/>
                <w:kern w:val="0"/>
                <w:sz w:val="15"/>
                <w:szCs w:val="15"/>
              </w:rPr>
              <w:t>240</w:t>
            </w:r>
            <w:r>
              <w:rPr>
                <w:rFonts w:hint="eastAsia" w:cs="宋体"/>
                <w:kern w:val="0"/>
                <w:sz w:val="15"/>
                <w:szCs w:val="15"/>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89A944">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6A629E">
            <w:pPr>
              <w:widowControl/>
              <w:spacing w:line="200" w:lineRule="exact"/>
              <w:jc w:val="center"/>
              <w:rPr>
                <w:rFonts w:hint="default" w:eastAsia="等线" w:cs="宋体"/>
                <w:kern w:val="0"/>
                <w:sz w:val="15"/>
                <w:szCs w:val="15"/>
                <w:lang w:val="en-US" w:eastAsia="zh-CN"/>
              </w:rPr>
            </w:pPr>
            <w:r>
              <w:rPr>
                <w:rFonts w:hint="eastAsia" w:cs="宋体"/>
                <w:kern w:val="0"/>
                <w:sz w:val="15"/>
                <w:szCs w:val="15"/>
              </w:rPr>
              <w:t>240</w:t>
            </w:r>
            <w:r>
              <w:rPr>
                <w:rFonts w:hint="eastAsia" w:cs="宋体"/>
                <w:kern w:val="0"/>
                <w:sz w:val="15"/>
                <w:szCs w:val="15"/>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3A2934">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988344">
            <w:pPr>
              <w:widowControl/>
              <w:spacing w:line="200" w:lineRule="exact"/>
              <w:jc w:val="center"/>
              <w:rPr>
                <w:rFonts w:cs="宋体"/>
                <w:kern w:val="0"/>
                <w:sz w:val="15"/>
                <w:szCs w:val="15"/>
              </w:rPr>
            </w:pPr>
            <w:r>
              <w:rPr>
                <w:rFonts w:hint="eastAsia" w:cs="宋体"/>
                <w:kern w:val="0"/>
                <w:sz w:val="15"/>
                <w:szCs w:val="15"/>
              </w:rPr>
              <w:t>超额完成</w:t>
            </w:r>
          </w:p>
        </w:tc>
      </w:tr>
      <w:tr w14:paraId="4FD4B8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0AA797">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420323">
            <w:pPr>
              <w:widowControl/>
              <w:spacing w:line="200" w:lineRule="exact"/>
              <w:jc w:val="center"/>
              <w:rPr>
                <w:rFonts w:cs="宋体"/>
                <w:kern w:val="0"/>
                <w:sz w:val="15"/>
                <w:szCs w:val="15"/>
              </w:rPr>
            </w:pPr>
            <w:r>
              <w:rPr>
                <w:rFonts w:hint="eastAsia" w:cs="宋体"/>
                <w:kern w:val="0"/>
                <w:sz w:val="15"/>
                <w:szCs w:val="15"/>
              </w:rPr>
              <w:t>8</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204C31">
            <w:pPr>
              <w:widowControl/>
              <w:spacing w:line="200" w:lineRule="exact"/>
              <w:jc w:val="center"/>
              <w:rPr>
                <w:rFonts w:cs="宋体"/>
                <w:kern w:val="0"/>
                <w:sz w:val="15"/>
                <w:szCs w:val="15"/>
              </w:rPr>
            </w:pPr>
            <w:r>
              <w:rPr>
                <w:rFonts w:hint="eastAsia" w:cs="宋体"/>
                <w:kern w:val="0"/>
                <w:sz w:val="15"/>
                <w:szCs w:val="15"/>
              </w:rPr>
              <w:t>公共财政预算收入（亿元）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3D1EF0">
            <w:pPr>
              <w:widowControl/>
              <w:spacing w:line="200" w:lineRule="exact"/>
              <w:jc w:val="center"/>
              <w:rPr>
                <w:rFonts w:cs="宋体"/>
                <w:kern w:val="0"/>
                <w:sz w:val="15"/>
                <w:szCs w:val="15"/>
              </w:rPr>
            </w:pPr>
            <w:r>
              <w:rPr>
                <w:rFonts w:hint="eastAsia" w:cs="宋体"/>
                <w:kern w:val="0"/>
                <w:sz w:val="15"/>
                <w:szCs w:val="15"/>
              </w:rPr>
              <w:t>5.09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BBFC7E">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5CAC93">
            <w:pPr>
              <w:widowControl/>
              <w:spacing w:line="200" w:lineRule="exact"/>
              <w:jc w:val="center"/>
              <w:rPr>
                <w:rFonts w:cs="宋体"/>
                <w:kern w:val="0"/>
                <w:sz w:val="15"/>
                <w:szCs w:val="15"/>
              </w:rPr>
            </w:pPr>
            <w:r>
              <w:rPr>
                <w:rFonts w:hint="eastAsia" w:cs="宋体"/>
                <w:kern w:val="0"/>
                <w:sz w:val="15"/>
                <w:szCs w:val="15"/>
              </w:rPr>
              <w:t>5.2</w:t>
            </w:r>
            <w:r>
              <w:rPr>
                <w:rFonts w:hint="eastAsia" w:cs="宋体"/>
                <w:kern w:val="0"/>
                <w:sz w:val="15"/>
                <w:szCs w:val="15"/>
                <w:lang w:val="en-US" w:eastAsia="zh-CN"/>
              </w:rPr>
              <w:t>1</w:t>
            </w:r>
            <w:r>
              <w:rPr>
                <w:rFonts w:hint="eastAsia" w:cs="宋体"/>
                <w:kern w:val="0"/>
                <w:sz w:val="15"/>
                <w:szCs w:val="15"/>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6E6202">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1D1341">
            <w:pPr>
              <w:widowControl/>
              <w:spacing w:line="200" w:lineRule="exact"/>
              <w:jc w:val="center"/>
              <w:rPr>
                <w:rFonts w:cs="宋体"/>
                <w:kern w:val="0"/>
                <w:sz w:val="15"/>
                <w:szCs w:val="15"/>
              </w:rPr>
            </w:pPr>
            <w:r>
              <w:rPr>
                <w:rFonts w:hint="eastAsia" w:cs="宋体"/>
                <w:kern w:val="0"/>
                <w:sz w:val="15"/>
                <w:szCs w:val="15"/>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615088">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1E18C6">
            <w:pPr>
              <w:widowControl/>
              <w:spacing w:line="200" w:lineRule="exact"/>
              <w:jc w:val="center"/>
              <w:rPr>
                <w:rFonts w:cs="宋体"/>
                <w:kern w:val="0"/>
                <w:sz w:val="15"/>
                <w:szCs w:val="15"/>
              </w:rPr>
            </w:pPr>
            <w:r>
              <w:rPr>
                <w:rFonts w:hint="eastAsia" w:cs="宋体"/>
                <w:kern w:val="0"/>
                <w:sz w:val="15"/>
                <w:szCs w:val="15"/>
              </w:rPr>
              <w:t>超额完成</w:t>
            </w:r>
          </w:p>
        </w:tc>
      </w:tr>
      <w:tr w14:paraId="174076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2F8ADA">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92F594">
            <w:pPr>
              <w:widowControl/>
              <w:spacing w:line="200" w:lineRule="exact"/>
              <w:jc w:val="center"/>
              <w:rPr>
                <w:rFonts w:cs="宋体"/>
                <w:kern w:val="0"/>
                <w:sz w:val="15"/>
                <w:szCs w:val="15"/>
              </w:rPr>
            </w:pPr>
            <w:r>
              <w:rPr>
                <w:rFonts w:hint="eastAsia" w:cs="宋体"/>
                <w:kern w:val="0"/>
                <w:sz w:val="15"/>
                <w:szCs w:val="15"/>
              </w:rPr>
              <w:t>9</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49DF2F">
            <w:pPr>
              <w:widowControl/>
              <w:spacing w:line="200" w:lineRule="exact"/>
              <w:jc w:val="center"/>
              <w:rPr>
                <w:rFonts w:cs="宋体"/>
                <w:kern w:val="0"/>
                <w:sz w:val="15"/>
                <w:szCs w:val="15"/>
              </w:rPr>
            </w:pPr>
            <w:r>
              <w:rPr>
                <w:rFonts w:hint="eastAsia" w:cs="宋体"/>
                <w:kern w:val="0"/>
                <w:sz w:val="15"/>
                <w:szCs w:val="15"/>
              </w:rPr>
              <w:t>公共财政预算支出（亿元）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898494">
            <w:pPr>
              <w:widowControl/>
              <w:spacing w:line="200" w:lineRule="exact"/>
              <w:jc w:val="center"/>
              <w:rPr>
                <w:rFonts w:cs="宋体"/>
                <w:kern w:val="0"/>
                <w:sz w:val="15"/>
                <w:szCs w:val="15"/>
              </w:rPr>
            </w:pPr>
            <w:r>
              <w:rPr>
                <w:rFonts w:hint="eastAsia" w:cs="宋体"/>
                <w:kern w:val="0"/>
                <w:sz w:val="15"/>
                <w:szCs w:val="15"/>
              </w:rPr>
              <w:t>25.05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17DD36">
            <w:pPr>
              <w:widowControl/>
              <w:spacing w:line="200" w:lineRule="exact"/>
              <w:jc w:val="center"/>
              <w:rPr>
                <w:rFonts w:cs="宋体"/>
                <w:kern w:val="0"/>
                <w:sz w:val="15"/>
                <w:szCs w:val="15"/>
              </w:rPr>
            </w:pPr>
            <w:r>
              <w:rPr>
                <w:rFonts w:hint="eastAsia" w:cs="宋体"/>
                <w:kern w:val="0"/>
                <w:sz w:val="15"/>
                <w:szCs w:val="15"/>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533EEA">
            <w:pPr>
              <w:widowControl/>
              <w:spacing w:line="200" w:lineRule="exact"/>
              <w:jc w:val="center"/>
              <w:rPr>
                <w:rFonts w:cs="宋体"/>
                <w:kern w:val="0"/>
                <w:sz w:val="15"/>
                <w:szCs w:val="15"/>
              </w:rPr>
            </w:pPr>
            <w:r>
              <w:rPr>
                <w:rFonts w:hint="eastAsia" w:cs="宋体"/>
                <w:kern w:val="0"/>
                <w:sz w:val="15"/>
                <w:szCs w:val="15"/>
              </w:rPr>
              <w:t xml:space="preserve">25.05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1B8333">
            <w:pPr>
              <w:widowControl/>
              <w:spacing w:line="200" w:lineRule="exact"/>
              <w:jc w:val="center"/>
              <w:rPr>
                <w:rFonts w:cs="宋体"/>
                <w:kern w:val="0"/>
                <w:sz w:val="15"/>
                <w:szCs w:val="15"/>
              </w:rPr>
            </w:pPr>
            <w:r>
              <w:rPr>
                <w:rFonts w:hint="eastAsia" w:cs="宋体"/>
                <w:kern w:val="0"/>
                <w:sz w:val="15"/>
                <w:szCs w:val="15"/>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E002A1">
            <w:pPr>
              <w:widowControl/>
              <w:spacing w:line="200" w:lineRule="exact"/>
              <w:jc w:val="center"/>
              <w:rPr>
                <w:rFonts w:cs="宋体"/>
                <w:kern w:val="0"/>
                <w:sz w:val="15"/>
                <w:szCs w:val="15"/>
              </w:rPr>
            </w:pPr>
            <w:r>
              <w:rPr>
                <w:rFonts w:hint="eastAsia" w:cs="宋体"/>
                <w:kern w:val="0"/>
                <w:sz w:val="15"/>
                <w:szCs w:val="15"/>
              </w:rPr>
              <w:t>25.05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D0FC28">
            <w:pPr>
              <w:widowControl/>
              <w:spacing w:line="200" w:lineRule="exact"/>
              <w:jc w:val="center"/>
              <w:rPr>
                <w:rFonts w:cs="宋体"/>
                <w:kern w:val="0"/>
                <w:sz w:val="15"/>
                <w:szCs w:val="15"/>
              </w:rPr>
            </w:pPr>
            <w:r>
              <w:rPr>
                <w:rFonts w:hint="eastAsia" w:cs="宋体"/>
                <w:kern w:val="0"/>
                <w:sz w:val="15"/>
                <w:szCs w:val="15"/>
              </w:rPr>
              <w:t>1.47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200086">
            <w:pPr>
              <w:widowControl/>
              <w:spacing w:line="200" w:lineRule="exact"/>
              <w:jc w:val="center"/>
              <w:rPr>
                <w:rFonts w:cs="宋体"/>
                <w:kern w:val="0"/>
                <w:sz w:val="15"/>
                <w:szCs w:val="15"/>
              </w:rPr>
            </w:pPr>
            <w:r>
              <w:rPr>
                <w:rFonts w:hint="eastAsia" w:cs="宋体"/>
                <w:kern w:val="0"/>
                <w:sz w:val="15"/>
                <w:szCs w:val="15"/>
              </w:rPr>
              <w:t>完成</w:t>
            </w:r>
          </w:p>
        </w:tc>
      </w:tr>
      <w:tr w14:paraId="70E3252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D04D1F">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969546">
            <w:pPr>
              <w:widowControl/>
              <w:spacing w:line="200" w:lineRule="exact"/>
              <w:jc w:val="center"/>
              <w:rPr>
                <w:rFonts w:cs="宋体"/>
                <w:kern w:val="0"/>
                <w:sz w:val="15"/>
                <w:szCs w:val="15"/>
              </w:rPr>
            </w:pPr>
            <w:r>
              <w:rPr>
                <w:rFonts w:hint="eastAsia" w:cs="宋体"/>
                <w:kern w:val="0"/>
                <w:sz w:val="15"/>
                <w:szCs w:val="15"/>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F7CE0D">
            <w:pPr>
              <w:widowControl/>
              <w:spacing w:line="200" w:lineRule="exact"/>
              <w:jc w:val="center"/>
              <w:rPr>
                <w:rFonts w:cs="宋体"/>
                <w:kern w:val="0"/>
                <w:sz w:val="15"/>
                <w:szCs w:val="15"/>
              </w:rPr>
            </w:pPr>
            <w:r>
              <w:rPr>
                <w:rFonts w:hint="eastAsia" w:cs="宋体"/>
                <w:kern w:val="0"/>
                <w:sz w:val="15"/>
                <w:szCs w:val="15"/>
              </w:rPr>
              <w:t>人均生产总值（元）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C8B746">
            <w:pPr>
              <w:widowControl/>
              <w:spacing w:line="200" w:lineRule="exact"/>
              <w:jc w:val="center"/>
              <w:rPr>
                <w:rFonts w:cs="宋体"/>
                <w:kern w:val="0"/>
                <w:sz w:val="15"/>
                <w:szCs w:val="15"/>
              </w:rPr>
            </w:pPr>
            <w:r>
              <w:rPr>
                <w:rFonts w:hint="eastAsia" w:cs="宋体"/>
                <w:kern w:val="0"/>
                <w:sz w:val="15"/>
                <w:szCs w:val="15"/>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8F939A">
            <w:pPr>
              <w:widowControl/>
              <w:spacing w:line="200" w:lineRule="exact"/>
              <w:jc w:val="center"/>
              <w:rPr>
                <w:rFonts w:cs="宋体"/>
                <w:kern w:val="0"/>
                <w:sz w:val="15"/>
                <w:szCs w:val="15"/>
              </w:rPr>
            </w:pPr>
            <w:r>
              <w:rPr>
                <w:rFonts w:hint="eastAsia" w:cs="宋体"/>
                <w:kern w:val="0"/>
                <w:sz w:val="15"/>
                <w:szCs w:val="15"/>
              </w:rPr>
              <w:t>4.79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093677">
            <w:pPr>
              <w:widowControl/>
              <w:spacing w:line="200" w:lineRule="exact"/>
              <w:jc w:val="center"/>
              <w:rPr>
                <w:rFonts w:cs="宋体"/>
                <w:kern w:val="0"/>
                <w:sz w:val="15"/>
                <w:szCs w:val="15"/>
              </w:rPr>
            </w:pPr>
            <w:r>
              <w:rPr>
                <w:rFonts w:hint="eastAsia" w:cs="宋体"/>
                <w:kern w:val="0"/>
                <w:sz w:val="15"/>
                <w:szCs w:val="15"/>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F19C37">
            <w:pPr>
              <w:widowControl/>
              <w:spacing w:line="200" w:lineRule="exact"/>
              <w:jc w:val="center"/>
              <w:rPr>
                <w:rFonts w:cs="宋体"/>
                <w:kern w:val="0"/>
                <w:sz w:val="15"/>
                <w:szCs w:val="15"/>
              </w:rPr>
            </w:pPr>
            <w:r>
              <w:rPr>
                <w:rFonts w:hint="eastAsia" w:cs="宋体"/>
                <w:kern w:val="0"/>
                <w:sz w:val="15"/>
                <w:szCs w:val="15"/>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7C2B7E">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FDE090">
            <w:pPr>
              <w:widowControl/>
              <w:spacing w:line="200" w:lineRule="exact"/>
              <w:jc w:val="center"/>
              <w:rPr>
                <w:rFonts w:cs="宋体"/>
                <w:kern w:val="0"/>
                <w:sz w:val="15"/>
                <w:szCs w:val="15"/>
              </w:rPr>
            </w:pPr>
            <w:r>
              <w:rPr>
                <w:rFonts w:hint="eastAsia" w:cs="宋体"/>
                <w:kern w:val="0"/>
                <w:sz w:val="15"/>
                <w:szCs w:val="15"/>
              </w:rPr>
              <w:t>4.79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FB6E19">
            <w:pPr>
              <w:widowControl/>
              <w:spacing w:line="200" w:lineRule="exact"/>
              <w:jc w:val="center"/>
              <w:rPr>
                <w:rFonts w:cs="宋体"/>
                <w:kern w:val="0"/>
                <w:sz w:val="15"/>
                <w:szCs w:val="15"/>
              </w:rPr>
            </w:pPr>
            <w:r>
              <w:rPr>
                <w:rFonts w:hint="eastAsia" w:cs="宋体"/>
                <w:kern w:val="0"/>
                <w:sz w:val="15"/>
                <w:szCs w:val="15"/>
              </w:rPr>
              <w:t>完成</w:t>
            </w:r>
          </w:p>
        </w:tc>
      </w:tr>
      <w:tr w14:paraId="37261C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9FB0C9">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430AB7">
            <w:pPr>
              <w:widowControl/>
              <w:spacing w:line="200" w:lineRule="exact"/>
              <w:jc w:val="center"/>
              <w:rPr>
                <w:rFonts w:cs="宋体"/>
                <w:kern w:val="0"/>
                <w:sz w:val="15"/>
                <w:szCs w:val="15"/>
              </w:rPr>
            </w:pPr>
            <w:r>
              <w:rPr>
                <w:rFonts w:hint="eastAsia" w:cs="宋体"/>
                <w:kern w:val="0"/>
                <w:sz w:val="15"/>
                <w:szCs w:val="15"/>
              </w:rPr>
              <w:t>11</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1CD798">
            <w:pPr>
              <w:widowControl/>
              <w:spacing w:line="200" w:lineRule="exact"/>
              <w:jc w:val="center"/>
              <w:rPr>
                <w:rFonts w:cs="宋体"/>
                <w:kern w:val="0"/>
                <w:sz w:val="15"/>
                <w:szCs w:val="15"/>
              </w:rPr>
            </w:pPr>
            <w:r>
              <w:rPr>
                <w:rFonts w:hint="eastAsia" w:cs="宋体"/>
                <w:kern w:val="0"/>
                <w:sz w:val="15"/>
                <w:szCs w:val="15"/>
              </w:rPr>
              <w:t>新引进产业项目到位资金（亿元）（原名为引进省外到位资金）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B51B50">
            <w:pPr>
              <w:widowControl/>
              <w:spacing w:line="200" w:lineRule="exact"/>
              <w:jc w:val="center"/>
              <w:rPr>
                <w:rFonts w:cs="宋体"/>
                <w:kern w:val="0"/>
                <w:sz w:val="15"/>
                <w:szCs w:val="15"/>
              </w:rPr>
            </w:pPr>
            <w:r>
              <w:rPr>
                <w:rFonts w:hint="eastAsia" w:cs="宋体"/>
                <w:kern w:val="0"/>
                <w:sz w:val="15"/>
                <w:szCs w:val="15"/>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E60FE3">
            <w:pPr>
              <w:widowControl/>
              <w:spacing w:line="200" w:lineRule="exact"/>
              <w:jc w:val="center"/>
              <w:rPr>
                <w:rFonts w:cs="宋体"/>
                <w:kern w:val="0"/>
                <w:sz w:val="15"/>
                <w:szCs w:val="15"/>
              </w:rPr>
            </w:pPr>
            <w:r>
              <w:rPr>
                <w:rFonts w:hint="eastAsia" w:cs="宋体"/>
                <w:kern w:val="0"/>
                <w:sz w:val="15"/>
                <w:szCs w:val="15"/>
              </w:rPr>
              <w:t>13.47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F49ACC">
            <w:pPr>
              <w:widowControl/>
              <w:spacing w:line="200" w:lineRule="exact"/>
              <w:jc w:val="center"/>
              <w:rPr>
                <w:rFonts w:hint="default" w:eastAsia="等线" w:cs="宋体"/>
                <w:kern w:val="0"/>
                <w:sz w:val="15"/>
                <w:szCs w:val="15"/>
                <w:lang w:val="en-US" w:eastAsia="zh-CN"/>
              </w:rPr>
            </w:pPr>
            <w:r>
              <w:rPr>
                <w:rFonts w:hint="eastAsia" w:cs="宋体"/>
                <w:kern w:val="0"/>
                <w:sz w:val="15"/>
                <w:szCs w:val="15"/>
              </w:rPr>
              <w:t>8</w:t>
            </w:r>
            <w:r>
              <w:rPr>
                <w:rFonts w:hint="eastAsia" w:cs="宋体"/>
                <w:kern w:val="0"/>
                <w:sz w:val="15"/>
                <w:szCs w:val="15"/>
                <w:lang w:val="en-US" w:eastAsia="zh-CN"/>
              </w:rPr>
              <w:t>0.31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C847CA">
            <w:pPr>
              <w:widowControl/>
              <w:spacing w:line="200" w:lineRule="exact"/>
              <w:jc w:val="center"/>
              <w:rPr>
                <w:rFonts w:cs="宋体"/>
                <w:kern w:val="0"/>
                <w:sz w:val="15"/>
                <w:szCs w:val="15"/>
              </w:rPr>
            </w:pPr>
            <w:r>
              <w:rPr>
                <w:rFonts w:hint="eastAsia" w:cs="宋体"/>
                <w:kern w:val="0"/>
                <w:sz w:val="15"/>
                <w:szCs w:val="15"/>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B73A26">
            <w:pPr>
              <w:widowControl/>
              <w:spacing w:line="200" w:lineRule="exact"/>
              <w:jc w:val="center"/>
              <w:rPr>
                <w:rFonts w:hint="default" w:eastAsia="等线" w:cs="宋体"/>
                <w:kern w:val="0"/>
                <w:sz w:val="15"/>
                <w:szCs w:val="15"/>
                <w:lang w:val="en-US" w:eastAsia="zh-CN"/>
              </w:rPr>
            </w:pPr>
            <w:r>
              <w:rPr>
                <w:rFonts w:hint="eastAsia" w:cs="宋体"/>
                <w:kern w:val="0"/>
                <w:sz w:val="15"/>
                <w:szCs w:val="15"/>
              </w:rPr>
              <w:t>8</w:t>
            </w:r>
            <w:r>
              <w:rPr>
                <w:rFonts w:hint="eastAsia" w:cs="宋体"/>
                <w:kern w:val="0"/>
                <w:sz w:val="15"/>
                <w:szCs w:val="15"/>
                <w:lang w:val="en-US" w:eastAsia="zh-CN"/>
              </w:rPr>
              <w:t>0.31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941818">
            <w:pPr>
              <w:widowControl/>
              <w:spacing w:line="200" w:lineRule="exact"/>
              <w:jc w:val="center"/>
              <w:rPr>
                <w:rFonts w:cs="宋体"/>
                <w:kern w:val="0"/>
                <w:sz w:val="15"/>
                <w:szCs w:val="15"/>
              </w:rPr>
            </w:pPr>
            <w:r>
              <w:rPr>
                <w:rFonts w:hint="eastAsia" w:cs="宋体"/>
                <w:kern w:val="0"/>
                <w:sz w:val="15"/>
                <w:szCs w:val="15"/>
              </w:rPr>
              <w:t>14.58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15BB2C">
            <w:pPr>
              <w:widowControl/>
              <w:spacing w:line="200" w:lineRule="exact"/>
              <w:jc w:val="center"/>
              <w:rPr>
                <w:rFonts w:cs="宋体"/>
                <w:kern w:val="0"/>
                <w:sz w:val="15"/>
                <w:szCs w:val="15"/>
              </w:rPr>
            </w:pPr>
            <w:r>
              <w:rPr>
                <w:rFonts w:hint="eastAsia" w:cs="宋体"/>
                <w:kern w:val="0"/>
                <w:sz w:val="15"/>
                <w:szCs w:val="15"/>
              </w:rPr>
              <w:t>超额完成</w:t>
            </w:r>
          </w:p>
        </w:tc>
      </w:tr>
      <w:tr w14:paraId="71F1D8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E556C8">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DF0AD3">
            <w:pPr>
              <w:widowControl/>
              <w:spacing w:line="200" w:lineRule="exact"/>
              <w:jc w:val="center"/>
              <w:rPr>
                <w:rFonts w:cs="宋体"/>
                <w:kern w:val="0"/>
                <w:sz w:val="15"/>
                <w:szCs w:val="15"/>
              </w:rPr>
            </w:pPr>
            <w:r>
              <w:rPr>
                <w:rFonts w:hint="eastAsia" w:cs="宋体"/>
                <w:kern w:val="0"/>
                <w:sz w:val="15"/>
                <w:szCs w:val="15"/>
              </w:rPr>
              <w:t>12</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E7193D">
            <w:pPr>
              <w:widowControl/>
              <w:spacing w:line="200" w:lineRule="exact"/>
              <w:jc w:val="center"/>
              <w:rPr>
                <w:rFonts w:cs="宋体"/>
                <w:kern w:val="0"/>
                <w:sz w:val="15"/>
                <w:szCs w:val="15"/>
              </w:rPr>
            </w:pPr>
            <w:r>
              <w:rPr>
                <w:rFonts w:hint="eastAsia" w:cs="宋体"/>
                <w:kern w:val="0"/>
                <w:sz w:val="15"/>
                <w:szCs w:val="15"/>
              </w:rPr>
              <w:t>实际利用外资（万美元）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8CAD56">
            <w:pPr>
              <w:widowControl/>
              <w:spacing w:line="200" w:lineRule="exact"/>
              <w:jc w:val="center"/>
              <w:rPr>
                <w:rFonts w:cs="宋体"/>
                <w:kern w:val="0"/>
                <w:sz w:val="15"/>
                <w:szCs w:val="15"/>
              </w:rPr>
            </w:pPr>
            <w:r>
              <w:rPr>
                <w:rFonts w:hint="eastAsia" w:cs="宋体"/>
                <w:kern w:val="0"/>
                <w:sz w:val="15"/>
                <w:szCs w:val="15"/>
              </w:rPr>
              <w:t>680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E1C620">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235392">
            <w:pPr>
              <w:widowControl/>
              <w:spacing w:line="200" w:lineRule="exact"/>
              <w:jc w:val="center"/>
              <w:rPr>
                <w:rFonts w:cs="宋体"/>
                <w:kern w:val="0"/>
                <w:sz w:val="15"/>
                <w:szCs w:val="15"/>
              </w:rPr>
            </w:pPr>
            <w:r>
              <w:rPr>
                <w:rFonts w:hint="eastAsia" w:cs="宋体"/>
                <w:kern w:val="0"/>
                <w:sz w:val="15"/>
                <w:szCs w:val="15"/>
              </w:rPr>
              <w:t>5500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1AA7EF">
            <w:pPr>
              <w:widowControl/>
              <w:spacing w:line="200" w:lineRule="exact"/>
              <w:jc w:val="center"/>
              <w:rPr>
                <w:rFonts w:cs="宋体"/>
                <w:kern w:val="0"/>
                <w:sz w:val="15"/>
                <w:szCs w:val="15"/>
              </w:rPr>
            </w:pPr>
            <w:r>
              <w:rPr>
                <w:rFonts w:hint="eastAsia" w:cs="宋体"/>
                <w:kern w:val="0"/>
                <w:sz w:val="15"/>
                <w:szCs w:val="15"/>
              </w:rPr>
              <w:t>3.8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A5EB7F">
            <w:pPr>
              <w:widowControl/>
              <w:spacing w:line="200" w:lineRule="exact"/>
              <w:jc w:val="center"/>
              <w:rPr>
                <w:rFonts w:cs="宋体"/>
                <w:kern w:val="0"/>
                <w:sz w:val="15"/>
                <w:szCs w:val="15"/>
              </w:rPr>
            </w:pPr>
            <w:r>
              <w:rPr>
                <w:rFonts w:hint="eastAsia" w:cs="宋体"/>
                <w:kern w:val="0"/>
                <w:sz w:val="15"/>
                <w:szCs w:val="15"/>
              </w:rPr>
              <w:t>5500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45C5A9">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11.82</w:t>
            </w:r>
          </w:p>
        </w:tc>
        <w:tc>
          <w:tcPr>
            <w:tcW w:w="120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06790D3F">
            <w:pPr>
              <w:widowControl/>
              <w:spacing w:line="200" w:lineRule="exact"/>
              <w:jc w:val="center"/>
              <w:rPr>
                <w:rFonts w:cs="宋体"/>
                <w:kern w:val="0"/>
                <w:sz w:val="15"/>
                <w:szCs w:val="15"/>
              </w:rPr>
            </w:pPr>
            <w:r>
              <w:rPr>
                <w:rFonts w:hint="eastAsia" w:cs="宋体"/>
                <w:kern w:val="0"/>
                <w:sz w:val="15"/>
                <w:szCs w:val="15"/>
              </w:rPr>
              <w:t>超额完成</w:t>
            </w:r>
          </w:p>
        </w:tc>
      </w:tr>
      <w:tr w14:paraId="68CDEFD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633026">
            <w:pPr>
              <w:jc w:val="center"/>
              <w:rPr>
                <w:rFonts w:ascii="黑体" w:hAnsi="黑体" w:eastAsia="黑体"/>
                <w:b/>
                <w:color w:val="FF0000"/>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3EB5CB">
            <w:pPr>
              <w:widowControl/>
              <w:spacing w:line="200" w:lineRule="exact"/>
              <w:jc w:val="center"/>
              <w:rPr>
                <w:rFonts w:cs="宋体"/>
                <w:kern w:val="0"/>
                <w:sz w:val="15"/>
                <w:szCs w:val="15"/>
              </w:rPr>
            </w:pPr>
            <w:r>
              <w:rPr>
                <w:rFonts w:hint="eastAsia" w:cs="宋体"/>
                <w:kern w:val="0"/>
                <w:sz w:val="15"/>
                <w:szCs w:val="15"/>
              </w:rPr>
              <w:t>13</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CCA05D">
            <w:pPr>
              <w:widowControl/>
              <w:spacing w:line="200" w:lineRule="exact"/>
              <w:jc w:val="center"/>
              <w:rPr>
                <w:rFonts w:cs="宋体"/>
                <w:kern w:val="0"/>
                <w:sz w:val="15"/>
                <w:szCs w:val="15"/>
              </w:rPr>
            </w:pPr>
            <w:r>
              <w:rPr>
                <w:rFonts w:hint="eastAsia" w:cs="宋体"/>
                <w:kern w:val="0"/>
                <w:sz w:val="15"/>
                <w:szCs w:val="15"/>
              </w:rPr>
              <w:t>旅游总收入（万元）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342A8C">
            <w:pPr>
              <w:widowControl/>
              <w:spacing w:line="200" w:lineRule="exact"/>
              <w:jc w:val="center"/>
              <w:rPr>
                <w:rFonts w:cs="宋体"/>
                <w:kern w:val="0"/>
                <w:sz w:val="15"/>
                <w:szCs w:val="15"/>
              </w:rPr>
            </w:pPr>
            <w:r>
              <w:rPr>
                <w:rFonts w:hint="eastAsia" w:cs="宋体"/>
                <w:kern w:val="0"/>
                <w:sz w:val="15"/>
                <w:szCs w:val="15"/>
              </w:rPr>
              <w:t>65.23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4CCA04">
            <w:pPr>
              <w:widowControl/>
              <w:spacing w:line="200" w:lineRule="exact"/>
              <w:jc w:val="center"/>
              <w:rPr>
                <w:rFonts w:cs="宋体"/>
                <w:kern w:val="0"/>
                <w:sz w:val="15"/>
                <w:szCs w:val="15"/>
              </w:rPr>
            </w:pPr>
            <w:r>
              <w:rPr>
                <w:rFonts w:hint="eastAsia" w:cs="宋体"/>
                <w:kern w:val="0"/>
                <w:sz w:val="15"/>
                <w:szCs w:val="15"/>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44FBE2">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48.82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FCE65B">
            <w:pPr>
              <w:widowControl/>
              <w:spacing w:line="200" w:lineRule="exact"/>
              <w:jc w:val="center"/>
              <w:rPr>
                <w:rFonts w:hint="eastAsia" w:eastAsia="等线" w:cs="宋体"/>
                <w:kern w:val="0"/>
                <w:sz w:val="15"/>
                <w:szCs w:val="15"/>
                <w:lang w:val="en-US" w:eastAsia="zh-CN"/>
              </w:rPr>
            </w:pPr>
            <w:r>
              <w:rPr>
                <w:rFonts w:hint="eastAsia" w:cs="宋体"/>
                <w:kern w:val="0"/>
                <w:sz w:val="15"/>
                <w:szCs w:val="15"/>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C3596A">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48.82</w:t>
            </w:r>
          </w:p>
        </w:tc>
        <w:tc>
          <w:tcPr>
            <w:tcW w:w="1080"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7350094F">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0D1EBB0">
            <w:pPr>
              <w:widowControl/>
              <w:spacing w:line="200" w:lineRule="exact"/>
              <w:jc w:val="center"/>
              <w:rPr>
                <w:rFonts w:cs="宋体"/>
                <w:kern w:val="0"/>
                <w:sz w:val="15"/>
                <w:szCs w:val="15"/>
              </w:rPr>
            </w:pPr>
            <w:r>
              <w:rPr>
                <w:rFonts w:hint="eastAsia" w:cs="宋体"/>
                <w:kern w:val="0"/>
                <w:sz w:val="15"/>
                <w:szCs w:val="15"/>
              </w:rPr>
              <w:t>超额完成</w:t>
            </w:r>
          </w:p>
        </w:tc>
      </w:tr>
      <w:tr w14:paraId="0AD1D0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5"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D3A539">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C8F97F">
            <w:pPr>
              <w:widowControl/>
              <w:spacing w:line="200" w:lineRule="exact"/>
              <w:jc w:val="center"/>
              <w:rPr>
                <w:rFonts w:cs="宋体"/>
                <w:kern w:val="0"/>
                <w:sz w:val="15"/>
                <w:szCs w:val="15"/>
              </w:rPr>
            </w:pPr>
            <w:r>
              <w:rPr>
                <w:rFonts w:hint="eastAsia" w:cs="宋体"/>
                <w:kern w:val="0"/>
                <w:sz w:val="15"/>
                <w:szCs w:val="15"/>
              </w:rPr>
              <w:t>14</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9062CF">
            <w:pPr>
              <w:widowControl/>
              <w:spacing w:line="200" w:lineRule="exact"/>
              <w:jc w:val="center"/>
              <w:rPr>
                <w:rFonts w:cs="宋体"/>
                <w:kern w:val="0"/>
                <w:sz w:val="15"/>
                <w:szCs w:val="15"/>
              </w:rPr>
            </w:pPr>
            <w:r>
              <w:rPr>
                <w:rFonts w:hint="eastAsia" w:cs="宋体"/>
                <w:kern w:val="0"/>
                <w:sz w:val="15"/>
                <w:szCs w:val="15"/>
              </w:rPr>
              <w:t>三产产业结构比重（％）</w:t>
            </w:r>
          </w:p>
        </w:tc>
        <w:tc>
          <w:tcPr>
            <w:tcW w:w="2280" w:type="dxa"/>
            <w:gridSpan w:val="2"/>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14:paraId="7094DAA4">
            <w:pPr>
              <w:widowControl/>
              <w:spacing w:line="200" w:lineRule="exact"/>
              <w:jc w:val="center"/>
              <w:rPr>
                <w:rFonts w:hint="eastAsia" w:cs="宋体"/>
                <w:kern w:val="0"/>
                <w:sz w:val="15"/>
                <w:szCs w:val="15"/>
              </w:rPr>
            </w:pPr>
          </w:p>
          <w:p w14:paraId="56DFE98F">
            <w:pPr>
              <w:widowControl/>
              <w:spacing w:line="200" w:lineRule="exact"/>
              <w:jc w:val="center"/>
              <w:rPr>
                <w:rFonts w:cs="宋体"/>
                <w:kern w:val="0"/>
                <w:sz w:val="15"/>
                <w:szCs w:val="15"/>
              </w:rPr>
            </w:pPr>
            <w:r>
              <w:rPr>
                <w:rFonts w:hint="eastAsia" w:cs="宋体"/>
                <w:kern w:val="0"/>
                <w:sz w:val="15"/>
                <w:szCs w:val="15"/>
              </w:rPr>
              <w:t>7.1:47.8:45.1</w:t>
            </w:r>
          </w:p>
          <w:p w14:paraId="6B1CAB23">
            <w:pPr>
              <w:widowControl/>
              <w:spacing w:line="200" w:lineRule="exact"/>
              <w:jc w:val="center"/>
              <w:rPr>
                <w:rFonts w:cs="宋体"/>
                <w:kern w:val="0"/>
                <w:sz w:val="15"/>
                <w:szCs w:val="15"/>
              </w:rPr>
            </w:pPr>
          </w:p>
        </w:tc>
        <w:tc>
          <w:tcPr>
            <w:tcW w:w="2175"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1E044AE2">
            <w:pPr>
              <w:widowControl/>
              <w:spacing w:line="200" w:lineRule="exact"/>
              <w:jc w:val="center"/>
              <w:rPr>
                <w:rFonts w:hint="default" w:eastAsia="等线" w:cs="宋体"/>
                <w:kern w:val="0"/>
                <w:sz w:val="15"/>
                <w:szCs w:val="15"/>
                <w:lang w:val="en-US" w:eastAsia="zh-CN"/>
              </w:rPr>
            </w:pPr>
            <w:r>
              <w:rPr>
                <w:rFonts w:hint="eastAsia" w:cs="宋体"/>
                <w:kern w:val="0"/>
                <w:sz w:val="15"/>
                <w:szCs w:val="15"/>
              </w:rPr>
              <w:t>1</w:t>
            </w:r>
            <w:r>
              <w:rPr>
                <w:rFonts w:hint="eastAsia" w:cs="宋体"/>
                <w:kern w:val="0"/>
                <w:sz w:val="15"/>
                <w:szCs w:val="15"/>
                <w:lang w:val="en-US" w:eastAsia="zh-CN"/>
              </w:rPr>
              <w:t>6</w:t>
            </w:r>
            <w:r>
              <w:rPr>
                <w:rFonts w:hint="eastAsia" w:cs="宋体"/>
                <w:kern w:val="0"/>
                <w:sz w:val="15"/>
                <w:szCs w:val="15"/>
              </w:rPr>
              <w:t>：3</w:t>
            </w:r>
            <w:r>
              <w:rPr>
                <w:rFonts w:hint="eastAsia" w:cs="宋体"/>
                <w:kern w:val="0"/>
                <w:sz w:val="15"/>
                <w:szCs w:val="15"/>
                <w:lang w:val="en-US" w:eastAsia="zh-CN"/>
              </w:rPr>
              <w:t>2.2</w:t>
            </w:r>
            <w:r>
              <w:rPr>
                <w:rFonts w:hint="eastAsia" w:cs="宋体"/>
                <w:kern w:val="0"/>
                <w:sz w:val="15"/>
                <w:szCs w:val="15"/>
              </w:rPr>
              <w:t>：</w:t>
            </w:r>
            <w:r>
              <w:rPr>
                <w:rFonts w:hint="eastAsia" w:cs="宋体"/>
                <w:kern w:val="0"/>
                <w:sz w:val="15"/>
                <w:szCs w:val="15"/>
                <w:lang w:val="en-US" w:eastAsia="zh-CN"/>
              </w:rPr>
              <w:t>51.8</w:t>
            </w:r>
          </w:p>
        </w:tc>
        <w:tc>
          <w:tcPr>
            <w:tcW w:w="2295" w:type="dxa"/>
            <w:gridSpan w:val="2"/>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3FE264C1">
            <w:pPr>
              <w:widowControl/>
              <w:spacing w:line="200" w:lineRule="exact"/>
              <w:jc w:val="center"/>
              <w:rPr>
                <w:rFonts w:cs="宋体"/>
                <w:kern w:val="0"/>
                <w:sz w:val="15"/>
                <w:szCs w:val="15"/>
              </w:rPr>
            </w:pPr>
            <w:r>
              <w:rPr>
                <w:rFonts w:hint="eastAsia" w:cs="宋体"/>
                <w:kern w:val="0"/>
                <w:sz w:val="15"/>
                <w:szCs w:val="15"/>
              </w:rPr>
              <w:t>1</w:t>
            </w:r>
            <w:r>
              <w:rPr>
                <w:rFonts w:hint="eastAsia" w:cs="宋体"/>
                <w:kern w:val="0"/>
                <w:sz w:val="15"/>
                <w:szCs w:val="15"/>
                <w:lang w:val="en-US" w:eastAsia="zh-CN"/>
              </w:rPr>
              <w:t>6</w:t>
            </w:r>
            <w:r>
              <w:rPr>
                <w:rFonts w:hint="eastAsia" w:cs="宋体"/>
                <w:kern w:val="0"/>
                <w:sz w:val="15"/>
                <w:szCs w:val="15"/>
              </w:rPr>
              <w:t>：3</w:t>
            </w:r>
            <w:r>
              <w:rPr>
                <w:rFonts w:hint="eastAsia" w:cs="宋体"/>
                <w:kern w:val="0"/>
                <w:sz w:val="15"/>
                <w:szCs w:val="15"/>
                <w:lang w:val="en-US" w:eastAsia="zh-CN"/>
              </w:rPr>
              <w:t>2.2</w:t>
            </w:r>
            <w:r>
              <w:rPr>
                <w:rFonts w:hint="eastAsia" w:cs="宋体"/>
                <w:kern w:val="0"/>
                <w:sz w:val="15"/>
                <w:szCs w:val="15"/>
              </w:rPr>
              <w:t>：</w:t>
            </w:r>
            <w:r>
              <w:rPr>
                <w:rFonts w:hint="eastAsia" w:cs="宋体"/>
                <w:kern w:val="0"/>
                <w:sz w:val="15"/>
                <w:szCs w:val="15"/>
                <w:lang w:val="en-US" w:eastAsia="zh-CN"/>
              </w:rPr>
              <w:t>51.8</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1BB352C4">
            <w:pPr>
              <w:widowControl/>
              <w:spacing w:line="200" w:lineRule="exact"/>
              <w:jc w:val="center"/>
              <w:rPr>
                <w:rFonts w:cs="宋体"/>
                <w:kern w:val="0"/>
                <w:sz w:val="15"/>
                <w:szCs w:val="15"/>
              </w:rPr>
            </w:pPr>
            <w:r>
              <w:rPr>
                <w:rFonts w:hint="eastAsia" w:cs="宋体"/>
                <w:kern w:val="0"/>
                <w:sz w:val="15"/>
                <w:szCs w:val="15"/>
              </w:rPr>
              <w:t>——</w:t>
            </w:r>
          </w:p>
        </w:tc>
      </w:tr>
      <w:tr w14:paraId="10412D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FCDDCC">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0CB88A">
            <w:pPr>
              <w:widowControl/>
              <w:spacing w:line="200" w:lineRule="exact"/>
              <w:jc w:val="center"/>
              <w:rPr>
                <w:rFonts w:cs="宋体"/>
                <w:kern w:val="0"/>
                <w:sz w:val="15"/>
                <w:szCs w:val="15"/>
              </w:rPr>
            </w:pPr>
            <w:r>
              <w:rPr>
                <w:rFonts w:hint="eastAsia" w:cs="宋体"/>
                <w:kern w:val="0"/>
                <w:sz w:val="15"/>
                <w:szCs w:val="15"/>
              </w:rPr>
              <w:t>15</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B8385F">
            <w:pPr>
              <w:widowControl/>
              <w:spacing w:line="200" w:lineRule="exact"/>
              <w:jc w:val="center"/>
              <w:rPr>
                <w:rFonts w:cs="宋体"/>
                <w:kern w:val="0"/>
                <w:sz w:val="15"/>
                <w:szCs w:val="15"/>
              </w:rPr>
            </w:pPr>
            <w:r>
              <w:rPr>
                <w:rFonts w:hint="eastAsia" w:cs="宋体"/>
                <w:kern w:val="0"/>
                <w:sz w:val="15"/>
                <w:szCs w:val="15"/>
              </w:rPr>
              <w:t>常住人口城镇化率（％）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9F3F51">
            <w:pPr>
              <w:widowControl/>
              <w:spacing w:line="200" w:lineRule="exact"/>
              <w:jc w:val="center"/>
              <w:rPr>
                <w:rFonts w:cs="宋体"/>
                <w:kern w:val="0"/>
                <w:sz w:val="15"/>
                <w:szCs w:val="15"/>
              </w:rPr>
            </w:pPr>
            <w:r>
              <w:rPr>
                <w:rFonts w:hint="eastAsia" w:cs="宋体"/>
                <w:kern w:val="0"/>
                <w:sz w:val="15"/>
                <w:szCs w:val="15"/>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10A659">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364501">
            <w:pPr>
              <w:widowControl/>
              <w:spacing w:line="200" w:lineRule="exact"/>
              <w:jc w:val="center"/>
              <w:rPr>
                <w:rFonts w:cs="宋体"/>
                <w:kern w:val="0"/>
                <w:sz w:val="15"/>
                <w:szCs w:val="15"/>
              </w:rPr>
            </w:pPr>
            <w:r>
              <w:rPr>
                <w:rFonts w:hint="eastAsia" w:cs="宋体"/>
                <w:kern w:val="0"/>
                <w:sz w:val="15"/>
                <w:szCs w:val="15"/>
              </w:rPr>
              <w:t>51.57</w:t>
            </w:r>
          </w:p>
        </w:tc>
        <w:tc>
          <w:tcPr>
            <w:tcW w:w="1095"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75C5CA7F">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1CD74760">
            <w:pPr>
              <w:widowControl/>
              <w:spacing w:line="200" w:lineRule="exact"/>
              <w:jc w:val="center"/>
              <w:rPr>
                <w:rFonts w:cs="宋体"/>
                <w:kern w:val="0"/>
                <w:sz w:val="15"/>
                <w:szCs w:val="15"/>
              </w:rPr>
            </w:pPr>
            <w:r>
              <w:rPr>
                <w:rFonts w:hint="eastAsia" w:cs="宋体"/>
                <w:kern w:val="0"/>
                <w:sz w:val="15"/>
                <w:szCs w:val="15"/>
              </w:rPr>
              <w:t>51.57</w:t>
            </w:r>
          </w:p>
        </w:tc>
        <w:tc>
          <w:tcPr>
            <w:tcW w:w="1080"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63AA7B64">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AE712F0">
            <w:pPr>
              <w:widowControl/>
              <w:spacing w:line="200" w:lineRule="exact"/>
              <w:jc w:val="center"/>
              <w:rPr>
                <w:rFonts w:cs="宋体"/>
                <w:kern w:val="0"/>
                <w:sz w:val="15"/>
                <w:szCs w:val="15"/>
              </w:rPr>
            </w:pPr>
            <w:r>
              <w:rPr>
                <w:rFonts w:hint="eastAsia" w:cs="宋体"/>
                <w:kern w:val="0"/>
                <w:sz w:val="15"/>
                <w:szCs w:val="15"/>
              </w:rPr>
              <w:t>超额完成</w:t>
            </w:r>
          </w:p>
        </w:tc>
      </w:tr>
      <w:tr w14:paraId="214DA5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95018A">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31D3A">
            <w:pPr>
              <w:widowControl/>
              <w:spacing w:line="200" w:lineRule="exact"/>
              <w:jc w:val="center"/>
              <w:rPr>
                <w:rFonts w:cs="宋体"/>
                <w:kern w:val="0"/>
                <w:sz w:val="15"/>
                <w:szCs w:val="15"/>
              </w:rPr>
            </w:pPr>
            <w:r>
              <w:rPr>
                <w:rFonts w:hint="eastAsia" w:cs="宋体"/>
                <w:kern w:val="0"/>
                <w:sz w:val="15"/>
                <w:szCs w:val="15"/>
              </w:rPr>
              <w:t>16</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A731FA">
            <w:pPr>
              <w:widowControl/>
              <w:spacing w:line="200" w:lineRule="exact"/>
              <w:jc w:val="center"/>
              <w:rPr>
                <w:rFonts w:cs="宋体"/>
                <w:kern w:val="0"/>
                <w:sz w:val="15"/>
                <w:szCs w:val="15"/>
              </w:rPr>
            </w:pPr>
            <w:r>
              <w:rPr>
                <w:rFonts w:hint="eastAsia" w:cs="宋体"/>
                <w:kern w:val="0"/>
                <w:sz w:val="15"/>
                <w:szCs w:val="15"/>
              </w:rPr>
              <w:t>户籍总人口（万人）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C2A1DB">
            <w:pPr>
              <w:widowControl/>
              <w:spacing w:line="200" w:lineRule="exact"/>
              <w:jc w:val="center"/>
              <w:rPr>
                <w:rFonts w:cs="宋体"/>
                <w:kern w:val="0"/>
                <w:sz w:val="15"/>
                <w:szCs w:val="15"/>
              </w:rPr>
            </w:pPr>
            <w:r>
              <w:rPr>
                <w:rFonts w:hint="eastAsia" w:cs="宋体"/>
                <w:kern w:val="0"/>
                <w:sz w:val="15"/>
                <w:szCs w:val="15"/>
              </w:rPr>
              <w:t>27.8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340D6F">
            <w:pPr>
              <w:widowControl/>
              <w:spacing w:line="200" w:lineRule="exact"/>
              <w:jc w:val="center"/>
              <w:rPr>
                <w:rFonts w:cs="宋体"/>
                <w:kern w:val="0"/>
                <w:sz w:val="15"/>
                <w:szCs w:val="15"/>
              </w:rPr>
            </w:pPr>
            <w:r>
              <w:rPr>
                <w:rFonts w:hint="eastAsia" w:cs="宋体"/>
                <w:kern w:val="0"/>
                <w:sz w:val="15"/>
                <w:szCs w:val="15"/>
              </w:rPr>
              <w:t>0.64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1CD568">
            <w:pPr>
              <w:widowControl/>
              <w:spacing w:line="200" w:lineRule="exact"/>
              <w:jc w:val="center"/>
              <w:rPr>
                <w:rFonts w:cs="宋体"/>
                <w:kern w:val="0"/>
                <w:sz w:val="15"/>
                <w:szCs w:val="15"/>
              </w:rPr>
            </w:pPr>
            <w:r>
              <w:rPr>
                <w:rFonts w:hint="eastAsia" w:cs="宋体"/>
                <w:kern w:val="0"/>
                <w:sz w:val="15"/>
                <w:szCs w:val="15"/>
              </w:rPr>
              <w:t>27.8</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8DA022">
            <w:pPr>
              <w:widowControl/>
              <w:spacing w:line="200" w:lineRule="exact"/>
              <w:jc w:val="center"/>
              <w:rPr>
                <w:rFonts w:cs="宋体"/>
                <w:kern w:val="0"/>
                <w:sz w:val="15"/>
                <w:szCs w:val="15"/>
              </w:rPr>
            </w:pPr>
            <w:r>
              <w:rPr>
                <w:rFonts w:hint="eastAsia" w:cs="宋体"/>
                <w:kern w:val="0"/>
                <w:sz w:val="15"/>
                <w:szCs w:val="15"/>
              </w:rPr>
              <w:t>0.58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01069A">
            <w:pPr>
              <w:widowControl/>
              <w:spacing w:line="200" w:lineRule="exact"/>
              <w:jc w:val="center"/>
              <w:rPr>
                <w:rFonts w:cs="宋体"/>
                <w:kern w:val="0"/>
                <w:sz w:val="15"/>
                <w:szCs w:val="15"/>
              </w:rPr>
            </w:pPr>
            <w:r>
              <w:rPr>
                <w:rFonts w:hint="eastAsia" w:cs="宋体"/>
                <w:kern w:val="0"/>
                <w:sz w:val="15"/>
                <w:szCs w:val="15"/>
              </w:rPr>
              <w:t>27.8</w:t>
            </w:r>
          </w:p>
        </w:tc>
        <w:tc>
          <w:tcPr>
            <w:tcW w:w="1080"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447AA599">
            <w:pPr>
              <w:widowControl/>
              <w:spacing w:line="200" w:lineRule="exact"/>
              <w:jc w:val="center"/>
              <w:rPr>
                <w:rFonts w:cs="宋体"/>
                <w:kern w:val="0"/>
                <w:sz w:val="15"/>
                <w:szCs w:val="15"/>
              </w:rPr>
            </w:pPr>
            <w:r>
              <w:rPr>
                <w:rFonts w:hint="eastAsia" w:cs="宋体"/>
                <w:kern w:val="0"/>
                <w:sz w:val="15"/>
                <w:szCs w:val="15"/>
              </w:rPr>
              <w:t>0.64</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93B58AE">
            <w:pPr>
              <w:widowControl/>
              <w:spacing w:line="200" w:lineRule="exact"/>
              <w:jc w:val="center"/>
              <w:rPr>
                <w:rFonts w:cs="宋体"/>
                <w:kern w:val="0"/>
                <w:sz w:val="15"/>
                <w:szCs w:val="15"/>
              </w:rPr>
            </w:pPr>
          </w:p>
        </w:tc>
      </w:tr>
      <w:tr w14:paraId="13F03A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6718F2">
            <w:pPr>
              <w:widowControl/>
              <w:jc w:val="center"/>
              <w:textAlignment w:val="center"/>
              <w:rPr>
                <w:rFonts w:ascii="仿宋_GB2312" w:hAnsi="宋体" w:eastAsia="仿宋_GB2312" w:cs="仿宋_GB2312"/>
                <w:b/>
                <w:kern w:val="0"/>
                <w:sz w:val="20"/>
                <w:szCs w:val="20"/>
              </w:rPr>
            </w:pPr>
            <w:r>
              <w:rPr>
                <w:rFonts w:hint="eastAsia" w:ascii="仿宋_GB2312" w:hAnsi="宋体" w:eastAsia="仿宋_GB2312" w:cs="仿宋_GB2312"/>
                <w:b/>
                <w:kern w:val="0"/>
                <w:sz w:val="20"/>
                <w:szCs w:val="20"/>
              </w:rPr>
              <w:t>科技</w:t>
            </w:r>
          </w:p>
          <w:p w14:paraId="77C323E9">
            <w:pPr>
              <w:widowControl/>
              <w:jc w:val="center"/>
              <w:textAlignment w:val="center"/>
              <w:rPr>
                <w:rFonts w:ascii="黑体" w:hAnsi="黑体" w:eastAsia="黑体"/>
                <w:b/>
                <w:sz w:val="16"/>
                <w:szCs w:val="16"/>
              </w:rPr>
            </w:pPr>
            <w:r>
              <w:rPr>
                <w:rFonts w:hint="eastAsia" w:ascii="仿宋_GB2312" w:hAnsi="宋体" w:eastAsia="仿宋_GB2312" w:cs="仿宋_GB2312"/>
                <w:b/>
                <w:kern w:val="0"/>
                <w:sz w:val="20"/>
                <w:szCs w:val="20"/>
              </w:rPr>
              <w:t>创新</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0C8C26">
            <w:pPr>
              <w:widowControl/>
              <w:spacing w:line="200" w:lineRule="exact"/>
              <w:jc w:val="center"/>
              <w:rPr>
                <w:rFonts w:cs="宋体"/>
                <w:kern w:val="0"/>
                <w:sz w:val="15"/>
                <w:szCs w:val="15"/>
              </w:rPr>
            </w:pPr>
            <w:r>
              <w:rPr>
                <w:rFonts w:hint="eastAsia" w:cs="宋体"/>
                <w:kern w:val="0"/>
                <w:sz w:val="15"/>
                <w:szCs w:val="15"/>
              </w:rPr>
              <w:t>17</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1D4388">
            <w:pPr>
              <w:widowControl/>
              <w:spacing w:line="200" w:lineRule="exact"/>
              <w:jc w:val="center"/>
              <w:rPr>
                <w:rFonts w:cs="宋体"/>
                <w:kern w:val="0"/>
                <w:sz w:val="15"/>
                <w:szCs w:val="15"/>
              </w:rPr>
            </w:pPr>
            <w:r>
              <w:rPr>
                <w:rFonts w:hint="eastAsia" w:cs="宋体"/>
                <w:kern w:val="0"/>
                <w:sz w:val="15"/>
                <w:szCs w:val="15"/>
              </w:rPr>
              <w:t>综合科技进步水平指数（％）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AC3E64">
            <w:pPr>
              <w:widowControl/>
              <w:spacing w:line="200" w:lineRule="exact"/>
              <w:jc w:val="center"/>
              <w:rPr>
                <w:rFonts w:cs="宋体"/>
                <w:kern w:val="0"/>
                <w:sz w:val="15"/>
                <w:szCs w:val="15"/>
              </w:rPr>
            </w:pPr>
            <w:r>
              <w:rPr>
                <w:rFonts w:hint="eastAsia" w:cs="宋体"/>
                <w:kern w:val="0"/>
                <w:sz w:val="15"/>
                <w:szCs w:val="15"/>
              </w:rPr>
              <w:t>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BB3FA6">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89536E">
            <w:pPr>
              <w:widowControl/>
              <w:spacing w:line="200" w:lineRule="exact"/>
              <w:jc w:val="center"/>
              <w:rPr>
                <w:rFonts w:cs="宋体"/>
                <w:kern w:val="0"/>
                <w:sz w:val="15"/>
                <w:szCs w:val="15"/>
              </w:rPr>
            </w:pPr>
            <w:r>
              <w:rPr>
                <w:rFonts w:hint="eastAsia" w:cs="宋体"/>
                <w:kern w:val="0"/>
                <w:sz w:val="15"/>
                <w:szCs w:val="15"/>
              </w:rPr>
              <w:t>74.04</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A10D0F">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CB76E0">
            <w:pPr>
              <w:widowControl/>
              <w:spacing w:line="200" w:lineRule="exact"/>
              <w:jc w:val="center"/>
              <w:rPr>
                <w:rFonts w:cs="宋体"/>
                <w:kern w:val="0"/>
                <w:sz w:val="15"/>
                <w:szCs w:val="15"/>
              </w:rPr>
            </w:pPr>
            <w:r>
              <w:rPr>
                <w:rFonts w:hint="eastAsia" w:cs="宋体"/>
                <w:kern w:val="0"/>
                <w:sz w:val="15"/>
                <w:szCs w:val="15"/>
              </w:rPr>
              <w:t>74.04</w:t>
            </w:r>
          </w:p>
        </w:tc>
        <w:tc>
          <w:tcPr>
            <w:tcW w:w="1080"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3BDCAE07">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5AB0152">
            <w:pPr>
              <w:widowControl/>
              <w:spacing w:line="200" w:lineRule="exact"/>
              <w:jc w:val="center"/>
              <w:rPr>
                <w:rFonts w:cs="宋体"/>
                <w:kern w:val="0"/>
                <w:sz w:val="15"/>
                <w:szCs w:val="15"/>
              </w:rPr>
            </w:pPr>
            <w:r>
              <w:rPr>
                <w:rFonts w:hint="eastAsia" w:cs="宋体"/>
                <w:kern w:val="0"/>
                <w:sz w:val="15"/>
                <w:szCs w:val="15"/>
              </w:rPr>
              <w:t>超额完成</w:t>
            </w:r>
          </w:p>
        </w:tc>
      </w:tr>
      <w:tr w14:paraId="6B7725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75CB78">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D0EC68">
            <w:pPr>
              <w:widowControl/>
              <w:spacing w:line="200" w:lineRule="exact"/>
              <w:jc w:val="center"/>
              <w:rPr>
                <w:rFonts w:cs="宋体"/>
                <w:kern w:val="0"/>
                <w:sz w:val="15"/>
                <w:szCs w:val="15"/>
              </w:rPr>
            </w:pPr>
            <w:r>
              <w:rPr>
                <w:rFonts w:hint="eastAsia" w:cs="宋体"/>
                <w:kern w:val="0"/>
                <w:sz w:val="15"/>
                <w:szCs w:val="15"/>
              </w:rPr>
              <w:t>18</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854137">
            <w:pPr>
              <w:widowControl/>
              <w:spacing w:line="200" w:lineRule="exact"/>
              <w:jc w:val="center"/>
              <w:rPr>
                <w:rFonts w:cs="宋体"/>
                <w:kern w:val="0"/>
                <w:sz w:val="15"/>
                <w:szCs w:val="15"/>
              </w:rPr>
            </w:pPr>
            <w:r>
              <w:rPr>
                <w:rFonts w:hint="eastAsia" w:cs="宋体"/>
                <w:kern w:val="0"/>
                <w:sz w:val="15"/>
                <w:szCs w:val="15"/>
              </w:rPr>
              <w:t>每万人发明专利拥有量（件）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05BBC2">
            <w:pPr>
              <w:widowControl/>
              <w:spacing w:line="200" w:lineRule="exact"/>
              <w:jc w:val="center"/>
              <w:rPr>
                <w:rFonts w:cs="宋体"/>
                <w:kern w:val="0"/>
                <w:sz w:val="15"/>
                <w:szCs w:val="15"/>
              </w:rPr>
            </w:pPr>
            <w:r>
              <w:rPr>
                <w:rFonts w:hint="eastAsia" w:cs="宋体"/>
                <w:kern w:val="0"/>
                <w:sz w:val="15"/>
                <w:szCs w:val="15"/>
              </w:rPr>
              <w:t>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3EC21E">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89FAAB">
            <w:pPr>
              <w:widowControl/>
              <w:spacing w:line="200" w:lineRule="exact"/>
              <w:jc w:val="center"/>
              <w:rPr>
                <w:rFonts w:cs="宋体"/>
                <w:kern w:val="0"/>
                <w:sz w:val="15"/>
                <w:szCs w:val="15"/>
              </w:rPr>
            </w:pPr>
            <w:r>
              <w:rPr>
                <w:rFonts w:hint="eastAsia" w:cs="宋体"/>
                <w:kern w:val="0"/>
                <w:sz w:val="15"/>
                <w:szCs w:val="15"/>
              </w:rPr>
              <w:t>2.</w:t>
            </w:r>
            <w:r>
              <w:rPr>
                <w:rFonts w:cs="宋体"/>
                <w:kern w:val="0"/>
                <w:sz w:val="15"/>
                <w:szCs w:val="15"/>
              </w:rPr>
              <w:t>68</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6A8326">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1EB1BF">
            <w:pPr>
              <w:widowControl/>
              <w:spacing w:line="200" w:lineRule="exact"/>
              <w:jc w:val="center"/>
              <w:rPr>
                <w:rFonts w:cs="宋体"/>
                <w:kern w:val="0"/>
                <w:sz w:val="15"/>
                <w:szCs w:val="15"/>
              </w:rPr>
            </w:pPr>
            <w:r>
              <w:rPr>
                <w:rFonts w:hint="eastAsia" w:cs="宋体"/>
                <w:kern w:val="0"/>
                <w:sz w:val="15"/>
                <w:szCs w:val="15"/>
              </w:rPr>
              <w:t>2.</w:t>
            </w:r>
            <w:r>
              <w:rPr>
                <w:rFonts w:cs="宋体"/>
                <w:kern w:val="0"/>
                <w:sz w:val="15"/>
                <w:szCs w:val="15"/>
              </w:rPr>
              <w:t>68</w:t>
            </w:r>
          </w:p>
        </w:tc>
        <w:tc>
          <w:tcPr>
            <w:tcW w:w="1080"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2A0A4349">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00DE490">
            <w:pPr>
              <w:widowControl/>
              <w:spacing w:line="200" w:lineRule="exact"/>
              <w:jc w:val="center"/>
              <w:rPr>
                <w:rFonts w:cs="宋体"/>
                <w:kern w:val="0"/>
                <w:sz w:val="15"/>
                <w:szCs w:val="15"/>
              </w:rPr>
            </w:pPr>
            <w:r>
              <w:rPr>
                <w:rFonts w:hint="eastAsia" w:cs="宋体"/>
                <w:kern w:val="0"/>
                <w:sz w:val="15"/>
                <w:szCs w:val="15"/>
              </w:rPr>
              <w:t>完成</w:t>
            </w:r>
          </w:p>
        </w:tc>
      </w:tr>
      <w:tr w14:paraId="406D82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5"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7A3811">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6C8075">
            <w:pPr>
              <w:widowControl/>
              <w:spacing w:line="200" w:lineRule="exact"/>
              <w:jc w:val="center"/>
              <w:rPr>
                <w:rFonts w:cs="宋体"/>
                <w:kern w:val="0"/>
                <w:sz w:val="15"/>
                <w:szCs w:val="15"/>
              </w:rPr>
            </w:pPr>
            <w:r>
              <w:rPr>
                <w:rFonts w:hint="eastAsia" w:cs="宋体"/>
                <w:kern w:val="0"/>
                <w:sz w:val="15"/>
                <w:szCs w:val="15"/>
              </w:rPr>
              <w:t>19</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361721">
            <w:pPr>
              <w:widowControl/>
              <w:spacing w:line="200" w:lineRule="exact"/>
              <w:jc w:val="center"/>
              <w:rPr>
                <w:rFonts w:cs="宋体"/>
                <w:kern w:val="0"/>
                <w:sz w:val="15"/>
                <w:szCs w:val="15"/>
              </w:rPr>
            </w:pPr>
            <w:r>
              <w:rPr>
                <w:rFonts w:hint="eastAsia" w:cs="宋体"/>
                <w:kern w:val="0"/>
                <w:sz w:val="15"/>
                <w:szCs w:val="15"/>
              </w:rPr>
              <w:t>人才资源总量（万人）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8CC503">
            <w:pPr>
              <w:widowControl/>
              <w:spacing w:line="200" w:lineRule="exact"/>
              <w:jc w:val="center"/>
              <w:rPr>
                <w:rFonts w:cs="宋体"/>
                <w:kern w:val="0"/>
                <w:sz w:val="15"/>
                <w:szCs w:val="15"/>
              </w:rPr>
            </w:pPr>
            <w:r>
              <w:rPr>
                <w:rFonts w:hint="eastAsia" w:cs="宋体"/>
                <w:kern w:val="0"/>
                <w:sz w:val="15"/>
                <w:szCs w:val="15"/>
              </w:rPr>
              <w:t>2.33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A4305A">
            <w:pPr>
              <w:widowControl/>
              <w:spacing w:line="200" w:lineRule="exact"/>
              <w:jc w:val="center"/>
              <w:rPr>
                <w:rFonts w:cs="宋体"/>
                <w:kern w:val="0"/>
                <w:sz w:val="15"/>
                <w:szCs w:val="15"/>
              </w:rPr>
            </w:pPr>
            <w:r>
              <w:rPr>
                <w:rFonts w:hint="eastAsia" w:cs="宋体"/>
                <w:kern w:val="0"/>
                <w:sz w:val="15"/>
                <w:szCs w:val="15"/>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2DC3A9">
            <w:pPr>
              <w:widowControl/>
              <w:spacing w:line="200" w:lineRule="exact"/>
              <w:jc w:val="center"/>
              <w:rPr>
                <w:rFonts w:cs="宋体"/>
                <w:kern w:val="0"/>
                <w:sz w:val="15"/>
                <w:szCs w:val="15"/>
              </w:rPr>
            </w:pPr>
            <w:r>
              <w:rPr>
                <w:rFonts w:hint="eastAsia" w:cs="宋体"/>
                <w:kern w:val="0"/>
                <w:sz w:val="15"/>
                <w:szCs w:val="15"/>
              </w:rPr>
              <w:t>2.32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711F15">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7E5459">
            <w:pPr>
              <w:widowControl/>
              <w:spacing w:line="200" w:lineRule="exact"/>
              <w:jc w:val="center"/>
              <w:rPr>
                <w:rFonts w:cs="宋体"/>
                <w:kern w:val="0"/>
                <w:sz w:val="15"/>
                <w:szCs w:val="15"/>
              </w:rPr>
            </w:pPr>
            <w:r>
              <w:rPr>
                <w:rFonts w:hint="eastAsia" w:cs="宋体"/>
                <w:kern w:val="0"/>
                <w:sz w:val="15"/>
                <w:szCs w:val="15"/>
              </w:rPr>
              <w:t>2.33</w:t>
            </w:r>
          </w:p>
        </w:tc>
        <w:tc>
          <w:tcPr>
            <w:tcW w:w="1080"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28E70D4D">
            <w:pPr>
              <w:widowControl/>
              <w:spacing w:line="200" w:lineRule="exact"/>
              <w:jc w:val="center"/>
              <w:rPr>
                <w:rFonts w:cs="宋体"/>
                <w:kern w:val="0"/>
                <w:sz w:val="15"/>
                <w:szCs w:val="15"/>
              </w:rPr>
            </w:pPr>
            <w:r>
              <w:rPr>
                <w:rFonts w:hint="eastAsia" w:cs="宋体"/>
                <w:kern w:val="0"/>
                <w:sz w:val="15"/>
                <w:szCs w:val="15"/>
              </w:rPr>
              <w:t>5.7</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8BB1EE7">
            <w:pPr>
              <w:widowControl/>
              <w:spacing w:line="200" w:lineRule="exact"/>
              <w:jc w:val="center"/>
              <w:rPr>
                <w:rFonts w:cs="宋体"/>
                <w:kern w:val="0"/>
                <w:sz w:val="15"/>
                <w:szCs w:val="15"/>
              </w:rPr>
            </w:pPr>
            <w:r>
              <w:rPr>
                <w:rFonts w:hint="eastAsia" w:cs="宋体"/>
                <w:kern w:val="0"/>
                <w:sz w:val="15"/>
                <w:szCs w:val="15"/>
              </w:rPr>
              <w:t>——</w:t>
            </w:r>
          </w:p>
        </w:tc>
      </w:tr>
      <w:tr w14:paraId="15BF65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F8EACB">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F24E78">
            <w:pPr>
              <w:widowControl/>
              <w:spacing w:line="200" w:lineRule="exact"/>
              <w:jc w:val="center"/>
              <w:rPr>
                <w:rFonts w:cs="宋体"/>
                <w:kern w:val="0"/>
                <w:sz w:val="15"/>
                <w:szCs w:val="15"/>
              </w:rPr>
            </w:pPr>
            <w:r>
              <w:rPr>
                <w:rFonts w:hint="eastAsia" w:cs="宋体"/>
                <w:kern w:val="0"/>
                <w:sz w:val="15"/>
                <w:szCs w:val="15"/>
              </w:rPr>
              <w:t>20</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B754A1">
            <w:pPr>
              <w:widowControl/>
              <w:spacing w:line="200" w:lineRule="exact"/>
              <w:jc w:val="center"/>
              <w:rPr>
                <w:rFonts w:cs="宋体"/>
                <w:kern w:val="0"/>
                <w:sz w:val="15"/>
                <w:szCs w:val="15"/>
              </w:rPr>
            </w:pPr>
            <w:r>
              <w:rPr>
                <w:rFonts w:hint="eastAsia" w:cs="宋体"/>
                <w:kern w:val="0"/>
                <w:sz w:val="15"/>
                <w:szCs w:val="15"/>
              </w:rPr>
              <w:t>高新技术企业增加值占GDP比重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B72193">
            <w:pPr>
              <w:widowControl/>
              <w:spacing w:line="200" w:lineRule="exact"/>
              <w:jc w:val="center"/>
              <w:rPr>
                <w:rFonts w:cs="宋体"/>
                <w:kern w:val="0"/>
                <w:sz w:val="15"/>
                <w:szCs w:val="15"/>
              </w:rPr>
            </w:pPr>
            <w:r>
              <w:rPr>
                <w:rFonts w:hint="eastAsia" w:cs="宋体"/>
                <w:kern w:val="0"/>
                <w:sz w:val="15"/>
                <w:szCs w:val="15"/>
              </w:rPr>
              <w:t>18.85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B9B162">
            <w:pPr>
              <w:widowControl/>
              <w:spacing w:line="200" w:lineRule="exact"/>
              <w:jc w:val="center"/>
              <w:rPr>
                <w:rFonts w:cs="宋体"/>
                <w:kern w:val="0"/>
                <w:sz w:val="15"/>
                <w:szCs w:val="15"/>
              </w:rPr>
            </w:pPr>
            <w:r>
              <w:rPr>
                <w:rFonts w:hint="eastAsia" w:cs="宋体"/>
                <w:kern w:val="0"/>
                <w:sz w:val="15"/>
                <w:szCs w:val="15"/>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23632A">
            <w:pPr>
              <w:widowControl/>
              <w:spacing w:line="200" w:lineRule="exact"/>
              <w:jc w:val="center"/>
              <w:rPr>
                <w:rFonts w:cs="宋体"/>
                <w:kern w:val="0"/>
                <w:sz w:val="15"/>
                <w:szCs w:val="15"/>
              </w:rPr>
            </w:pPr>
            <w:r>
              <w:rPr>
                <w:rFonts w:hint="eastAsia" w:cs="宋体"/>
                <w:kern w:val="0"/>
                <w:sz w:val="15"/>
                <w:szCs w:val="15"/>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F7A95B">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E7A9AF">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609D3747">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7CF99C4">
            <w:pPr>
              <w:widowControl/>
              <w:spacing w:line="200" w:lineRule="exact"/>
              <w:jc w:val="center"/>
              <w:rPr>
                <w:rFonts w:cs="宋体"/>
                <w:kern w:val="0"/>
                <w:sz w:val="15"/>
                <w:szCs w:val="15"/>
              </w:rPr>
            </w:pPr>
            <w:r>
              <w:rPr>
                <w:rFonts w:hint="eastAsia" w:cs="宋体"/>
                <w:kern w:val="0"/>
                <w:sz w:val="15"/>
                <w:szCs w:val="15"/>
              </w:rPr>
              <w:t>数据无出处</w:t>
            </w:r>
          </w:p>
        </w:tc>
      </w:tr>
      <w:tr w14:paraId="1B9CF9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C22250">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8095C0">
            <w:pPr>
              <w:widowControl/>
              <w:spacing w:line="200" w:lineRule="exact"/>
              <w:jc w:val="center"/>
              <w:rPr>
                <w:rFonts w:cs="宋体"/>
                <w:kern w:val="0"/>
                <w:sz w:val="15"/>
                <w:szCs w:val="15"/>
              </w:rPr>
            </w:pPr>
            <w:r>
              <w:rPr>
                <w:rFonts w:hint="eastAsia" w:cs="宋体"/>
                <w:kern w:val="0"/>
                <w:sz w:val="15"/>
                <w:szCs w:val="15"/>
              </w:rPr>
              <w:t>21</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D29D6A">
            <w:pPr>
              <w:widowControl/>
              <w:spacing w:line="200" w:lineRule="exact"/>
              <w:jc w:val="center"/>
              <w:rPr>
                <w:rFonts w:cs="宋体"/>
                <w:kern w:val="0"/>
                <w:sz w:val="15"/>
                <w:szCs w:val="15"/>
              </w:rPr>
            </w:pPr>
            <w:r>
              <w:rPr>
                <w:rFonts w:hint="eastAsia" w:cs="宋体"/>
                <w:kern w:val="0"/>
                <w:sz w:val="15"/>
                <w:szCs w:val="15"/>
              </w:rPr>
              <w:t>现代服务业增加值占服务业比重（%）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8EE4F1">
            <w:pPr>
              <w:widowControl/>
              <w:spacing w:line="200" w:lineRule="exact"/>
              <w:jc w:val="center"/>
              <w:rPr>
                <w:rFonts w:cs="宋体"/>
                <w:kern w:val="0"/>
                <w:sz w:val="15"/>
                <w:szCs w:val="15"/>
              </w:rPr>
            </w:pPr>
            <w:r>
              <w:rPr>
                <w:rFonts w:hint="eastAsia" w:cs="宋体"/>
                <w:kern w:val="0"/>
                <w:sz w:val="15"/>
                <w:szCs w:val="15"/>
              </w:rPr>
              <w:t>28.1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2A6E03">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E9522F">
            <w:pPr>
              <w:widowControl/>
              <w:spacing w:line="200" w:lineRule="exact"/>
              <w:jc w:val="center"/>
              <w:rPr>
                <w:rFonts w:cs="宋体"/>
                <w:kern w:val="0"/>
                <w:sz w:val="15"/>
                <w:szCs w:val="15"/>
              </w:rPr>
            </w:pPr>
            <w:r>
              <w:rPr>
                <w:rFonts w:hint="eastAsia" w:cs="宋体"/>
                <w:kern w:val="0"/>
                <w:sz w:val="15"/>
                <w:szCs w:val="15"/>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143F10">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B3587B">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CBC203">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AD00ED">
            <w:pPr>
              <w:widowControl/>
              <w:spacing w:line="200" w:lineRule="exact"/>
              <w:jc w:val="center"/>
              <w:rPr>
                <w:rFonts w:cs="宋体"/>
                <w:kern w:val="0"/>
                <w:sz w:val="15"/>
                <w:szCs w:val="15"/>
              </w:rPr>
            </w:pPr>
            <w:r>
              <w:rPr>
                <w:rFonts w:hint="eastAsia" w:cs="宋体"/>
                <w:kern w:val="0"/>
                <w:sz w:val="15"/>
                <w:szCs w:val="15"/>
              </w:rPr>
              <w:t>数据无出处</w:t>
            </w:r>
          </w:p>
        </w:tc>
      </w:tr>
      <w:tr w14:paraId="60C950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4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B17EFB">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A03D72">
            <w:pPr>
              <w:widowControl/>
              <w:spacing w:line="200" w:lineRule="exact"/>
              <w:jc w:val="center"/>
              <w:rPr>
                <w:rFonts w:cs="宋体"/>
                <w:kern w:val="0"/>
                <w:sz w:val="15"/>
                <w:szCs w:val="15"/>
              </w:rPr>
            </w:pPr>
            <w:r>
              <w:rPr>
                <w:rFonts w:hint="eastAsia" w:cs="宋体"/>
                <w:kern w:val="0"/>
                <w:sz w:val="15"/>
                <w:szCs w:val="15"/>
              </w:rPr>
              <w:t>22</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CDB720">
            <w:pPr>
              <w:widowControl/>
              <w:spacing w:line="200" w:lineRule="exact"/>
              <w:jc w:val="center"/>
              <w:rPr>
                <w:rFonts w:cs="宋体"/>
                <w:kern w:val="0"/>
                <w:sz w:val="15"/>
                <w:szCs w:val="15"/>
              </w:rPr>
            </w:pPr>
            <w:r>
              <w:rPr>
                <w:rFonts w:hint="eastAsia" w:cs="宋体"/>
                <w:kern w:val="0"/>
                <w:sz w:val="15"/>
                <w:szCs w:val="15"/>
              </w:rPr>
              <w:t>全社会研发经费占地方生产总值比重（%）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46DDC6">
            <w:pPr>
              <w:widowControl/>
              <w:spacing w:line="200" w:lineRule="exact"/>
              <w:jc w:val="center"/>
              <w:rPr>
                <w:rFonts w:cs="宋体"/>
                <w:kern w:val="0"/>
                <w:sz w:val="15"/>
                <w:szCs w:val="15"/>
              </w:rPr>
            </w:pPr>
            <w:r>
              <w:rPr>
                <w:rFonts w:hint="eastAsia" w:cs="宋体"/>
                <w:kern w:val="0"/>
                <w:sz w:val="15"/>
                <w:szCs w:val="15"/>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DF4BBE">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06273A">
            <w:pPr>
              <w:widowControl/>
              <w:spacing w:line="200" w:lineRule="exact"/>
              <w:jc w:val="center"/>
              <w:rPr>
                <w:rFonts w:cs="宋体"/>
                <w:kern w:val="0"/>
                <w:sz w:val="15"/>
                <w:szCs w:val="15"/>
              </w:rPr>
            </w:pPr>
            <w:r>
              <w:rPr>
                <w:rFonts w:hint="eastAsia" w:cs="宋体"/>
                <w:kern w:val="0"/>
                <w:sz w:val="15"/>
                <w:szCs w:val="15"/>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A5FEF8">
            <w:pPr>
              <w:widowControl/>
              <w:spacing w:line="200" w:lineRule="exact"/>
              <w:jc w:val="center"/>
              <w:rPr>
                <w:rFonts w:cs="宋体"/>
                <w:kern w:val="0"/>
                <w:sz w:val="15"/>
                <w:szCs w:val="15"/>
              </w:rPr>
            </w:pPr>
            <w:r>
              <w:rPr>
                <w:rFonts w:hint="eastAsia" w:cs="宋体"/>
                <w:kern w:val="0"/>
                <w:sz w:val="15"/>
                <w:szCs w:val="15"/>
              </w:rPr>
              <w:t>2.04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9A5EF5">
            <w:pPr>
              <w:widowControl/>
              <w:spacing w:line="200" w:lineRule="exact"/>
              <w:jc w:val="center"/>
              <w:rPr>
                <w:rFonts w:cs="宋体"/>
                <w:kern w:val="0"/>
                <w:sz w:val="15"/>
                <w:szCs w:val="15"/>
              </w:rPr>
            </w:pPr>
            <w:r>
              <w:rPr>
                <w:rFonts w:hint="eastAsia" w:cs="宋体"/>
                <w:kern w:val="0"/>
                <w:sz w:val="15"/>
                <w:szCs w:val="15"/>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47A08A">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F7695F">
            <w:pPr>
              <w:widowControl/>
              <w:spacing w:line="200" w:lineRule="exact"/>
              <w:jc w:val="center"/>
              <w:rPr>
                <w:rFonts w:cs="宋体"/>
                <w:kern w:val="0"/>
                <w:sz w:val="15"/>
                <w:szCs w:val="15"/>
              </w:rPr>
            </w:pPr>
            <w:r>
              <w:rPr>
                <w:rFonts w:hint="eastAsia" w:cs="宋体"/>
                <w:kern w:val="0"/>
                <w:sz w:val="15"/>
                <w:szCs w:val="15"/>
              </w:rPr>
              <w:t>完成</w:t>
            </w:r>
          </w:p>
        </w:tc>
      </w:tr>
      <w:tr w14:paraId="291FB8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42"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8F4DCB">
            <w:pPr>
              <w:widowControl/>
              <w:jc w:val="center"/>
              <w:textAlignment w:val="center"/>
              <w:rPr>
                <w:rFonts w:ascii="黑体" w:hAnsi="黑体" w:eastAsia="黑体"/>
                <w:b/>
                <w:sz w:val="16"/>
                <w:szCs w:val="16"/>
              </w:rPr>
            </w:pPr>
            <w:r>
              <w:rPr>
                <w:rFonts w:hint="eastAsia" w:ascii="仿宋_GB2312" w:hAnsi="宋体" w:eastAsia="仿宋_GB2312" w:cs="仿宋_GB2312"/>
                <w:b/>
                <w:kern w:val="0"/>
                <w:sz w:val="20"/>
                <w:szCs w:val="20"/>
              </w:rPr>
              <w:t>生态与环境</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359DAF">
            <w:pPr>
              <w:widowControl/>
              <w:spacing w:line="200" w:lineRule="exact"/>
              <w:jc w:val="center"/>
              <w:rPr>
                <w:rFonts w:cs="宋体"/>
                <w:kern w:val="0"/>
                <w:sz w:val="15"/>
                <w:szCs w:val="15"/>
              </w:rPr>
            </w:pPr>
            <w:r>
              <w:rPr>
                <w:rFonts w:hint="eastAsia" w:cs="宋体"/>
                <w:kern w:val="0"/>
                <w:sz w:val="15"/>
                <w:szCs w:val="15"/>
              </w:rPr>
              <w:t>23</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DD2C66">
            <w:pPr>
              <w:widowControl/>
              <w:spacing w:line="200" w:lineRule="exact"/>
              <w:jc w:val="center"/>
              <w:rPr>
                <w:rFonts w:cs="宋体"/>
                <w:kern w:val="0"/>
                <w:sz w:val="15"/>
                <w:szCs w:val="15"/>
              </w:rPr>
            </w:pPr>
            <w:r>
              <w:rPr>
                <w:rFonts w:hint="eastAsia" w:cs="宋体"/>
                <w:kern w:val="0"/>
                <w:sz w:val="15"/>
                <w:szCs w:val="15"/>
              </w:rPr>
              <w:t>空气质量优良率（％）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BD03E1">
            <w:pPr>
              <w:widowControl/>
              <w:spacing w:line="200" w:lineRule="exact"/>
              <w:jc w:val="center"/>
              <w:rPr>
                <w:rFonts w:cs="宋体"/>
                <w:kern w:val="0"/>
                <w:sz w:val="15"/>
                <w:szCs w:val="15"/>
              </w:rPr>
            </w:pPr>
            <w:r>
              <w:rPr>
                <w:rFonts w:hint="eastAsia" w:cs="宋体"/>
                <w:kern w:val="0"/>
                <w:sz w:val="15"/>
                <w:szCs w:val="15"/>
              </w:rPr>
              <w:t>&gt;95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6788EF">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3DE7FE">
            <w:pPr>
              <w:widowControl/>
              <w:spacing w:line="200" w:lineRule="exact"/>
              <w:jc w:val="center"/>
              <w:rPr>
                <w:rFonts w:hint="eastAsia" w:eastAsia="等线" w:cs="宋体"/>
                <w:kern w:val="0"/>
                <w:sz w:val="15"/>
                <w:szCs w:val="15"/>
                <w:lang w:eastAsia="zh-CN"/>
              </w:rPr>
            </w:pPr>
            <w:r>
              <w:rPr>
                <w:rFonts w:hint="eastAsia" w:cs="宋体"/>
                <w:kern w:val="0"/>
                <w:sz w:val="15"/>
                <w:szCs w:val="15"/>
              </w:rPr>
              <w:t>98.</w:t>
            </w:r>
            <w:r>
              <w:rPr>
                <w:rFonts w:hint="eastAsia" w:cs="宋体"/>
                <w:kern w:val="0"/>
                <w:sz w:val="15"/>
                <w:szCs w:val="15"/>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C08F05">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D7C989">
            <w:pPr>
              <w:widowControl/>
              <w:spacing w:line="200" w:lineRule="exact"/>
              <w:jc w:val="center"/>
              <w:rPr>
                <w:rFonts w:hint="eastAsia" w:eastAsia="等线" w:cs="宋体"/>
                <w:kern w:val="0"/>
                <w:sz w:val="15"/>
                <w:szCs w:val="15"/>
                <w:lang w:eastAsia="zh-CN"/>
              </w:rPr>
            </w:pPr>
            <w:r>
              <w:rPr>
                <w:rFonts w:hint="eastAsia" w:cs="宋体"/>
                <w:kern w:val="0"/>
                <w:sz w:val="15"/>
                <w:szCs w:val="15"/>
              </w:rPr>
              <w:t>98</w:t>
            </w:r>
            <w:r>
              <w:rPr>
                <w:rFonts w:hint="eastAsia" w:cs="宋体"/>
                <w:kern w:val="0"/>
                <w:sz w:val="15"/>
                <w:szCs w:val="15"/>
                <w:lang w:eastAsia="zh-CN"/>
              </w:rPr>
              <w:t>.</w:t>
            </w:r>
            <w:r>
              <w:rPr>
                <w:rFonts w:hint="eastAsia" w:cs="宋体"/>
                <w:kern w:val="0"/>
                <w:sz w:val="15"/>
                <w:szCs w:val="15"/>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A2240D">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C2EB2E">
            <w:pPr>
              <w:widowControl/>
              <w:spacing w:line="200" w:lineRule="exact"/>
              <w:jc w:val="center"/>
              <w:rPr>
                <w:rFonts w:cs="宋体"/>
                <w:kern w:val="0"/>
                <w:sz w:val="15"/>
                <w:szCs w:val="15"/>
              </w:rPr>
            </w:pPr>
            <w:r>
              <w:rPr>
                <w:rFonts w:hint="eastAsia" w:cs="宋体"/>
                <w:kern w:val="0"/>
                <w:sz w:val="15"/>
                <w:szCs w:val="15"/>
              </w:rPr>
              <w:t>完成</w:t>
            </w:r>
          </w:p>
        </w:tc>
      </w:tr>
      <w:tr w14:paraId="58415F4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38"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1B4EB1">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572FF2">
            <w:pPr>
              <w:widowControl/>
              <w:spacing w:line="200" w:lineRule="exact"/>
              <w:jc w:val="center"/>
              <w:rPr>
                <w:rFonts w:cs="宋体"/>
                <w:kern w:val="0"/>
                <w:sz w:val="15"/>
                <w:szCs w:val="15"/>
              </w:rPr>
            </w:pPr>
            <w:r>
              <w:rPr>
                <w:rFonts w:hint="eastAsia" w:cs="宋体"/>
                <w:kern w:val="0"/>
                <w:sz w:val="15"/>
                <w:szCs w:val="15"/>
              </w:rPr>
              <w:t>24</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0F7DF6">
            <w:pPr>
              <w:widowControl/>
              <w:spacing w:line="200" w:lineRule="exact"/>
              <w:jc w:val="center"/>
              <w:rPr>
                <w:rFonts w:cs="宋体"/>
                <w:kern w:val="0"/>
                <w:sz w:val="15"/>
                <w:szCs w:val="15"/>
              </w:rPr>
            </w:pPr>
            <w:r>
              <w:rPr>
                <w:rFonts w:hint="eastAsia" w:cs="宋体"/>
                <w:kern w:val="0"/>
                <w:sz w:val="15"/>
                <w:szCs w:val="15"/>
              </w:rPr>
              <w:t>森林覆盖率（％）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05D524">
            <w:pPr>
              <w:widowControl/>
              <w:spacing w:line="200" w:lineRule="exact"/>
              <w:jc w:val="center"/>
              <w:rPr>
                <w:rFonts w:cs="宋体"/>
                <w:kern w:val="0"/>
                <w:sz w:val="15"/>
                <w:szCs w:val="15"/>
              </w:rPr>
            </w:pPr>
            <w:r>
              <w:rPr>
                <w:rFonts w:hint="eastAsia" w:cs="宋体"/>
                <w:kern w:val="0"/>
                <w:sz w:val="15"/>
                <w:szCs w:val="15"/>
              </w:rPr>
              <w:t>≧59.5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2D67B4">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1247EB">
            <w:pPr>
              <w:widowControl/>
              <w:spacing w:line="200" w:lineRule="exact"/>
              <w:jc w:val="center"/>
              <w:rPr>
                <w:rFonts w:cs="宋体"/>
                <w:kern w:val="0"/>
                <w:sz w:val="15"/>
                <w:szCs w:val="15"/>
              </w:rPr>
            </w:pPr>
            <w:r>
              <w:rPr>
                <w:rFonts w:hint="eastAsia" w:cs="宋体"/>
                <w:kern w:val="0"/>
                <w:sz w:val="15"/>
                <w:szCs w:val="15"/>
              </w:rPr>
              <w:t>59.6</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0F8BB6">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89873B">
            <w:pPr>
              <w:widowControl/>
              <w:spacing w:line="200" w:lineRule="exact"/>
              <w:jc w:val="center"/>
              <w:rPr>
                <w:rFonts w:cs="宋体"/>
                <w:kern w:val="0"/>
                <w:sz w:val="15"/>
                <w:szCs w:val="15"/>
              </w:rPr>
            </w:pPr>
            <w:r>
              <w:rPr>
                <w:rFonts w:hint="eastAsia" w:cs="宋体"/>
                <w:kern w:val="0"/>
                <w:sz w:val="15"/>
                <w:szCs w:val="15"/>
              </w:rPr>
              <w:t>≧59.6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8C4E81">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54B3FD">
            <w:pPr>
              <w:widowControl/>
              <w:spacing w:line="200" w:lineRule="exact"/>
              <w:jc w:val="center"/>
              <w:rPr>
                <w:rFonts w:cs="宋体"/>
                <w:kern w:val="0"/>
                <w:sz w:val="15"/>
                <w:szCs w:val="15"/>
              </w:rPr>
            </w:pPr>
            <w:r>
              <w:rPr>
                <w:rFonts w:hint="eastAsia" w:cs="宋体"/>
                <w:kern w:val="0"/>
                <w:sz w:val="15"/>
                <w:szCs w:val="15"/>
              </w:rPr>
              <w:t>完成</w:t>
            </w:r>
          </w:p>
        </w:tc>
      </w:tr>
      <w:tr w14:paraId="427282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7FE628">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E74E2F">
            <w:pPr>
              <w:widowControl/>
              <w:spacing w:line="200" w:lineRule="exact"/>
              <w:jc w:val="center"/>
              <w:rPr>
                <w:rFonts w:cs="宋体"/>
                <w:kern w:val="0"/>
                <w:sz w:val="15"/>
                <w:szCs w:val="15"/>
              </w:rPr>
            </w:pPr>
            <w:r>
              <w:rPr>
                <w:rFonts w:hint="eastAsia" w:cs="宋体"/>
                <w:kern w:val="0"/>
                <w:sz w:val="15"/>
                <w:szCs w:val="15"/>
              </w:rPr>
              <w:t>25</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5C6C1C">
            <w:pPr>
              <w:widowControl/>
              <w:spacing w:line="200" w:lineRule="exact"/>
              <w:jc w:val="center"/>
              <w:rPr>
                <w:rFonts w:cs="宋体"/>
                <w:kern w:val="0"/>
                <w:sz w:val="15"/>
                <w:szCs w:val="15"/>
              </w:rPr>
            </w:pPr>
            <w:r>
              <w:rPr>
                <w:rFonts w:hint="eastAsia" w:cs="宋体"/>
                <w:kern w:val="0"/>
                <w:sz w:val="15"/>
                <w:szCs w:val="15"/>
              </w:rPr>
              <w:t>建成区人均公共绿地面积（平方米）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036DDD">
            <w:pPr>
              <w:widowControl/>
              <w:spacing w:line="200" w:lineRule="exact"/>
              <w:jc w:val="center"/>
              <w:rPr>
                <w:rFonts w:cs="宋体"/>
                <w:kern w:val="0"/>
                <w:sz w:val="15"/>
                <w:szCs w:val="15"/>
              </w:rPr>
            </w:pPr>
            <w:r>
              <w:rPr>
                <w:rFonts w:hint="eastAsia" w:cs="宋体"/>
                <w:kern w:val="0"/>
                <w:sz w:val="15"/>
                <w:szCs w:val="15"/>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D2CCBC">
            <w:pPr>
              <w:widowControl/>
              <w:spacing w:line="200" w:lineRule="exact"/>
              <w:jc w:val="center"/>
              <w:rPr>
                <w:rFonts w:cs="宋体"/>
                <w:kern w:val="0"/>
                <w:sz w:val="15"/>
                <w:szCs w:val="15"/>
              </w:rPr>
            </w:pPr>
            <w:r>
              <w:rPr>
                <w:rFonts w:hint="eastAsia" w:cs="宋体"/>
                <w:kern w:val="0"/>
                <w:sz w:val="15"/>
                <w:szCs w:val="15"/>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07652D">
            <w:pPr>
              <w:widowControl/>
              <w:spacing w:line="200" w:lineRule="exact"/>
              <w:jc w:val="center"/>
              <w:rPr>
                <w:rFonts w:cs="宋体"/>
                <w:kern w:val="0"/>
                <w:sz w:val="15"/>
                <w:szCs w:val="15"/>
              </w:rPr>
            </w:pPr>
            <w:r>
              <w:rPr>
                <w:rFonts w:hint="eastAsia" w:cs="宋体"/>
                <w:kern w:val="0"/>
                <w:sz w:val="15"/>
                <w:szCs w:val="15"/>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EFFEB4">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20A20B">
            <w:pPr>
              <w:widowControl/>
              <w:spacing w:line="200" w:lineRule="exact"/>
              <w:jc w:val="center"/>
              <w:rPr>
                <w:rFonts w:cs="宋体"/>
                <w:kern w:val="0"/>
                <w:sz w:val="15"/>
                <w:szCs w:val="15"/>
              </w:rPr>
            </w:pPr>
            <w:r>
              <w:rPr>
                <w:rFonts w:hint="eastAsia" w:cs="宋体"/>
                <w:kern w:val="0"/>
                <w:sz w:val="15"/>
                <w:szCs w:val="15"/>
              </w:rPr>
              <w:t>16.47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BD9764">
            <w:pPr>
              <w:widowControl/>
              <w:spacing w:line="200" w:lineRule="exact"/>
              <w:jc w:val="center"/>
              <w:rPr>
                <w:rFonts w:cs="宋体"/>
                <w:kern w:val="0"/>
                <w:sz w:val="15"/>
                <w:szCs w:val="15"/>
              </w:rPr>
            </w:pPr>
            <w:r>
              <w:rPr>
                <w:rFonts w:hint="eastAsia" w:cs="宋体"/>
                <w:kern w:val="0"/>
                <w:sz w:val="15"/>
                <w:szCs w:val="15"/>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BC44A2">
            <w:pPr>
              <w:widowControl/>
              <w:spacing w:line="200" w:lineRule="exact"/>
              <w:jc w:val="center"/>
              <w:rPr>
                <w:rFonts w:cs="宋体"/>
                <w:kern w:val="0"/>
                <w:sz w:val="15"/>
                <w:szCs w:val="15"/>
              </w:rPr>
            </w:pPr>
            <w:r>
              <w:rPr>
                <w:rFonts w:hint="eastAsia" w:cs="宋体"/>
                <w:kern w:val="0"/>
                <w:sz w:val="15"/>
                <w:szCs w:val="15"/>
              </w:rPr>
              <w:t>完成</w:t>
            </w:r>
          </w:p>
        </w:tc>
      </w:tr>
      <w:tr w14:paraId="0B8760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5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A28CC2">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73DE84">
            <w:pPr>
              <w:widowControl/>
              <w:spacing w:line="200" w:lineRule="exact"/>
              <w:jc w:val="center"/>
              <w:rPr>
                <w:rFonts w:cs="宋体"/>
                <w:kern w:val="0"/>
                <w:sz w:val="15"/>
                <w:szCs w:val="15"/>
              </w:rPr>
            </w:pPr>
            <w:r>
              <w:rPr>
                <w:rFonts w:hint="eastAsia" w:cs="宋体"/>
                <w:kern w:val="0"/>
                <w:sz w:val="15"/>
                <w:szCs w:val="15"/>
              </w:rPr>
              <w:t>26</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CA9AC0">
            <w:pPr>
              <w:widowControl/>
              <w:spacing w:line="200" w:lineRule="exact"/>
              <w:jc w:val="center"/>
              <w:rPr>
                <w:rFonts w:cs="宋体"/>
                <w:kern w:val="0"/>
                <w:sz w:val="15"/>
                <w:szCs w:val="15"/>
              </w:rPr>
            </w:pPr>
            <w:r>
              <w:rPr>
                <w:rFonts w:hint="eastAsia" w:cs="宋体"/>
                <w:kern w:val="0"/>
                <w:sz w:val="15"/>
                <w:szCs w:val="15"/>
              </w:rPr>
              <w:t>单位GDP综合能源消耗降低率（%）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5B1EAF">
            <w:pPr>
              <w:widowControl/>
              <w:spacing w:line="200" w:lineRule="exact"/>
              <w:jc w:val="center"/>
              <w:rPr>
                <w:rFonts w:cs="宋体"/>
                <w:kern w:val="0"/>
                <w:sz w:val="15"/>
                <w:szCs w:val="15"/>
              </w:rPr>
            </w:pPr>
            <w:r>
              <w:rPr>
                <w:rFonts w:hint="eastAsia" w:cs="宋体"/>
                <w:kern w:val="0"/>
                <w:sz w:val="15"/>
                <w:szCs w:val="15"/>
              </w:rPr>
              <w:t>达到省市要求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7C783F">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1E6E26">
            <w:pPr>
              <w:widowControl/>
              <w:spacing w:line="200" w:lineRule="exact"/>
              <w:jc w:val="center"/>
              <w:rPr>
                <w:rFonts w:cs="宋体"/>
                <w:kern w:val="0"/>
                <w:sz w:val="15"/>
                <w:szCs w:val="15"/>
              </w:rPr>
            </w:pPr>
            <w:r>
              <w:rPr>
                <w:rFonts w:hint="eastAsia" w:cs="宋体"/>
                <w:kern w:val="0"/>
                <w:sz w:val="15"/>
                <w:szCs w:val="15"/>
              </w:rPr>
              <w:t>达到省市要求</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734525">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2A7257">
            <w:pPr>
              <w:widowControl/>
              <w:spacing w:line="200" w:lineRule="exact"/>
              <w:jc w:val="center"/>
              <w:rPr>
                <w:rFonts w:cs="宋体"/>
                <w:kern w:val="0"/>
                <w:sz w:val="15"/>
                <w:szCs w:val="15"/>
              </w:rPr>
            </w:pPr>
            <w:r>
              <w:rPr>
                <w:rFonts w:hint="eastAsia" w:cs="宋体"/>
                <w:kern w:val="0"/>
                <w:sz w:val="15"/>
                <w:szCs w:val="15"/>
              </w:rPr>
              <w:t>达到省市要求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26665D">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62D86F">
            <w:pPr>
              <w:widowControl/>
              <w:spacing w:line="200" w:lineRule="exact"/>
              <w:jc w:val="center"/>
              <w:rPr>
                <w:rFonts w:cs="宋体"/>
                <w:kern w:val="0"/>
                <w:sz w:val="15"/>
                <w:szCs w:val="15"/>
              </w:rPr>
            </w:pPr>
            <w:r>
              <w:rPr>
                <w:rFonts w:hint="eastAsia" w:cs="宋体"/>
                <w:kern w:val="0"/>
                <w:sz w:val="15"/>
                <w:szCs w:val="15"/>
              </w:rPr>
              <w:t>完成</w:t>
            </w:r>
          </w:p>
        </w:tc>
      </w:tr>
      <w:tr w14:paraId="6D275A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5D727F">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342CD8">
            <w:pPr>
              <w:widowControl/>
              <w:spacing w:line="200" w:lineRule="exact"/>
              <w:jc w:val="center"/>
              <w:rPr>
                <w:rFonts w:cs="宋体"/>
                <w:kern w:val="0"/>
                <w:sz w:val="15"/>
                <w:szCs w:val="15"/>
              </w:rPr>
            </w:pPr>
            <w:r>
              <w:rPr>
                <w:rFonts w:hint="eastAsia" w:cs="宋体"/>
                <w:kern w:val="0"/>
                <w:sz w:val="15"/>
                <w:szCs w:val="15"/>
              </w:rPr>
              <w:t>27</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D06411">
            <w:pPr>
              <w:widowControl/>
              <w:spacing w:line="200" w:lineRule="exact"/>
              <w:jc w:val="center"/>
              <w:rPr>
                <w:rFonts w:cs="宋体"/>
                <w:kern w:val="0"/>
                <w:sz w:val="15"/>
                <w:szCs w:val="15"/>
              </w:rPr>
            </w:pPr>
            <w:r>
              <w:rPr>
                <w:rFonts w:hint="eastAsia" w:cs="宋体"/>
                <w:kern w:val="0"/>
                <w:sz w:val="15"/>
                <w:szCs w:val="15"/>
              </w:rPr>
              <w:t>单位工业增加值用水量降低（％）</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823F5F">
            <w:pPr>
              <w:widowControl/>
              <w:spacing w:line="200" w:lineRule="exact"/>
              <w:jc w:val="center"/>
              <w:rPr>
                <w:rFonts w:cs="宋体"/>
                <w:kern w:val="0"/>
                <w:sz w:val="15"/>
                <w:szCs w:val="15"/>
              </w:rPr>
            </w:pPr>
            <w:r>
              <w:rPr>
                <w:rFonts w:hint="eastAsia" w:cs="宋体"/>
                <w:kern w:val="0"/>
                <w:sz w:val="15"/>
                <w:szCs w:val="15"/>
              </w:rPr>
              <w:t>达到省市要求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86213B">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5DC8F1">
            <w:pPr>
              <w:widowControl/>
              <w:spacing w:line="200" w:lineRule="exact"/>
              <w:jc w:val="center"/>
              <w:rPr>
                <w:rFonts w:cs="宋体"/>
                <w:kern w:val="0"/>
                <w:sz w:val="15"/>
                <w:szCs w:val="15"/>
              </w:rPr>
            </w:pPr>
            <w:r>
              <w:rPr>
                <w:rFonts w:hint="eastAsia" w:cs="宋体"/>
                <w:kern w:val="0"/>
                <w:sz w:val="15"/>
                <w:szCs w:val="15"/>
              </w:rPr>
              <w:t>达到省市要求</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6FBB50">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FE63B1">
            <w:pPr>
              <w:widowControl/>
              <w:spacing w:line="200" w:lineRule="exact"/>
              <w:jc w:val="center"/>
              <w:rPr>
                <w:rFonts w:cs="宋体"/>
                <w:kern w:val="0"/>
                <w:sz w:val="15"/>
                <w:szCs w:val="15"/>
              </w:rPr>
            </w:pPr>
            <w:r>
              <w:rPr>
                <w:rFonts w:hint="eastAsia" w:cs="宋体"/>
                <w:kern w:val="0"/>
                <w:sz w:val="15"/>
                <w:szCs w:val="15"/>
              </w:rPr>
              <w:t>达到省市要求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4D438D">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339E70">
            <w:pPr>
              <w:widowControl/>
              <w:spacing w:line="200" w:lineRule="exact"/>
              <w:jc w:val="center"/>
              <w:rPr>
                <w:rFonts w:cs="宋体"/>
                <w:kern w:val="0"/>
                <w:sz w:val="15"/>
                <w:szCs w:val="15"/>
              </w:rPr>
            </w:pPr>
            <w:r>
              <w:rPr>
                <w:rFonts w:hint="eastAsia" w:cs="宋体"/>
                <w:kern w:val="0"/>
                <w:sz w:val="15"/>
                <w:szCs w:val="15"/>
              </w:rPr>
              <w:t>完成</w:t>
            </w:r>
          </w:p>
        </w:tc>
      </w:tr>
      <w:tr w14:paraId="08C41B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1"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F47526">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18C9FC">
            <w:pPr>
              <w:widowControl/>
              <w:spacing w:line="200" w:lineRule="exact"/>
              <w:jc w:val="center"/>
              <w:rPr>
                <w:rFonts w:cs="宋体"/>
                <w:kern w:val="0"/>
                <w:sz w:val="15"/>
                <w:szCs w:val="15"/>
              </w:rPr>
            </w:pPr>
            <w:r>
              <w:rPr>
                <w:rFonts w:hint="eastAsia" w:cs="宋体"/>
                <w:kern w:val="0"/>
                <w:sz w:val="15"/>
                <w:szCs w:val="15"/>
              </w:rPr>
              <w:t>28</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4BD967">
            <w:pPr>
              <w:widowControl/>
              <w:spacing w:line="200" w:lineRule="exact"/>
              <w:jc w:val="center"/>
              <w:rPr>
                <w:rFonts w:cs="宋体"/>
                <w:kern w:val="0"/>
                <w:sz w:val="15"/>
                <w:szCs w:val="15"/>
              </w:rPr>
            </w:pPr>
            <w:r>
              <w:rPr>
                <w:rFonts w:hint="eastAsia" w:cs="宋体"/>
                <w:kern w:val="0"/>
                <w:sz w:val="15"/>
                <w:szCs w:val="15"/>
              </w:rPr>
              <w:t>主要污染物排放总量减少（%）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DB2D1D">
            <w:pPr>
              <w:widowControl/>
              <w:spacing w:line="200" w:lineRule="exact"/>
              <w:jc w:val="center"/>
              <w:rPr>
                <w:rFonts w:cs="宋体"/>
                <w:kern w:val="0"/>
                <w:sz w:val="15"/>
                <w:szCs w:val="15"/>
              </w:rPr>
            </w:pPr>
            <w:r>
              <w:rPr>
                <w:rFonts w:hint="eastAsia" w:cs="宋体"/>
                <w:kern w:val="0"/>
                <w:sz w:val="15"/>
                <w:szCs w:val="15"/>
              </w:rPr>
              <w:t>达到省市要求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CF4B67">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BC6517">
            <w:pPr>
              <w:widowControl/>
              <w:spacing w:line="200" w:lineRule="exact"/>
              <w:jc w:val="center"/>
              <w:rPr>
                <w:rFonts w:cs="宋体"/>
                <w:kern w:val="0"/>
                <w:sz w:val="15"/>
                <w:szCs w:val="15"/>
              </w:rPr>
            </w:pPr>
            <w:r>
              <w:rPr>
                <w:rFonts w:hint="eastAsia" w:cs="宋体"/>
                <w:kern w:val="0"/>
                <w:sz w:val="15"/>
                <w:szCs w:val="15"/>
              </w:rPr>
              <w:t>达到省市要求</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34375C">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AF08C1">
            <w:pPr>
              <w:widowControl/>
              <w:spacing w:line="200" w:lineRule="exact"/>
              <w:jc w:val="center"/>
              <w:rPr>
                <w:rFonts w:cs="宋体"/>
                <w:kern w:val="0"/>
                <w:sz w:val="15"/>
                <w:szCs w:val="15"/>
              </w:rPr>
            </w:pPr>
            <w:r>
              <w:rPr>
                <w:rFonts w:hint="eastAsia" w:cs="宋体"/>
                <w:kern w:val="0"/>
                <w:sz w:val="15"/>
                <w:szCs w:val="15"/>
              </w:rPr>
              <w:t>达到省市要求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AAF109">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04AE0E">
            <w:pPr>
              <w:widowControl/>
              <w:spacing w:line="200" w:lineRule="exact"/>
              <w:jc w:val="center"/>
              <w:rPr>
                <w:rFonts w:cs="宋体"/>
                <w:kern w:val="0"/>
                <w:sz w:val="15"/>
                <w:szCs w:val="15"/>
              </w:rPr>
            </w:pPr>
            <w:r>
              <w:rPr>
                <w:rFonts w:hint="eastAsia" w:cs="宋体"/>
                <w:kern w:val="0"/>
                <w:sz w:val="15"/>
                <w:szCs w:val="15"/>
              </w:rPr>
              <w:t>完成</w:t>
            </w:r>
          </w:p>
        </w:tc>
      </w:tr>
      <w:tr w14:paraId="4CA253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C891A8">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25BC36">
            <w:pPr>
              <w:widowControl/>
              <w:spacing w:line="200" w:lineRule="exact"/>
              <w:jc w:val="center"/>
              <w:rPr>
                <w:rFonts w:cs="宋体"/>
                <w:kern w:val="0"/>
                <w:sz w:val="15"/>
                <w:szCs w:val="15"/>
              </w:rPr>
            </w:pPr>
            <w:r>
              <w:rPr>
                <w:rFonts w:hint="eastAsia" w:cs="宋体"/>
                <w:kern w:val="0"/>
                <w:sz w:val="15"/>
                <w:szCs w:val="15"/>
              </w:rPr>
              <w:t>29</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1C4FCC">
            <w:pPr>
              <w:widowControl/>
              <w:spacing w:line="200" w:lineRule="exact"/>
              <w:jc w:val="center"/>
              <w:rPr>
                <w:rFonts w:cs="宋体"/>
                <w:kern w:val="0"/>
                <w:sz w:val="15"/>
                <w:szCs w:val="15"/>
              </w:rPr>
            </w:pPr>
            <w:r>
              <w:rPr>
                <w:rFonts w:hint="eastAsia" w:cs="宋体"/>
                <w:kern w:val="0"/>
                <w:sz w:val="15"/>
                <w:szCs w:val="15"/>
              </w:rPr>
              <w:t>单位生产总值CO2排放降低（%）</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6B565F">
            <w:pPr>
              <w:widowControl/>
              <w:spacing w:line="200" w:lineRule="exact"/>
              <w:jc w:val="center"/>
              <w:rPr>
                <w:rFonts w:cs="宋体"/>
                <w:kern w:val="0"/>
                <w:sz w:val="15"/>
                <w:szCs w:val="15"/>
              </w:rPr>
            </w:pPr>
            <w:r>
              <w:rPr>
                <w:rFonts w:hint="eastAsia" w:cs="宋体"/>
                <w:kern w:val="0"/>
                <w:sz w:val="15"/>
                <w:szCs w:val="15"/>
              </w:rPr>
              <w:t>达到省市要求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0FD1E8">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B66176">
            <w:pPr>
              <w:widowControl/>
              <w:spacing w:line="200" w:lineRule="exact"/>
              <w:jc w:val="center"/>
              <w:rPr>
                <w:rFonts w:cs="宋体"/>
                <w:kern w:val="0"/>
                <w:sz w:val="15"/>
                <w:szCs w:val="15"/>
              </w:rPr>
            </w:pPr>
            <w:r>
              <w:rPr>
                <w:rFonts w:hint="eastAsia" w:cs="宋体"/>
                <w:kern w:val="0"/>
                <w:sz w:val="15"/>
                <w:szCs w:val="15"/>
              </w:rPr>
              <w:t>达到省市要求</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D24ED4">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E6C2CA">
            <w:pPr>
              <w:widowControl/>
              <w:spacing w:line="200" w:lineRule="exact"/>
              <w:jc w:val="center"/>
              <w:rPr>
                <w:rFonts w:cs="宋体"/>
                <w:kern w:val="0"/>
                <w:sz w:val="15"/>
                <w:szCs w:val="15"/>
              </w:rPr>
            </w:pPr>
            <w:r>
              <w:rPr>
                <w:rFonts w:hint="eastAsia" w:cs="宋体"/>
                <w:kern w:val="0"/>
                <w:sz w:val="15"/>
                <w:szCs w:val="15"/>
              </w:rPr>
              <w:t>达到省市要求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8D73B0">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A2B243">
            <w:pPr>
              <w:widowControl/>
              <w:spacing w:line="200" w:lineRule="exact"/>
              <w:jc w:val="center"/>
              <w:rPr>
                <w:rFonts w:cs="宋体"/>
                <w:kern w:val="0"/>
                <w:sz w:val="15"/>
                <w:szCs w:val="15"/>
              </w:rPr>
            </w:pPr>
            <w:r>
              <w:rPr>
                <w:rFonts w:hint="eastAsia" w:cs="宋体"/>
                <w:kern w:val="0"/>
                <w:sz w:val="15"/>
                <w:szCs w:val="15"/>
              </w:rPr>
              <w:t>完成</w:t>
            </w:r>
          </w:p>
        </w:tc>
      </w:tr>
      <w:tr w14:paraId="16FC69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3884E6">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0E4386">
            <w:pPr>
              <w:widowControl/>
              <w:spacing w:line="200" w:lineRule="exact"/>
              <w:jc w:val="center"/>
              <w:rPr>
                <w:rFonts w:cs="宋体"/>
                <w:kern w:val="0"/>
                <w:sz w:val="15"/>
                <w:szCs w:val="15"/>
              </w:rPr>
            </w:pPr>
            <w:r>
              <w:rPr>
                <w:rFonts w:hint="eastAsia" w:cs="宋体"/>
                <w:kern w:val="0"/>
                <w:sz w:val="15"/>
                <w:szCs w:val="15"/>
              </w:rPr>
              <w:t>30</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64947B">
            <w:pPr>
              <w:widowControl/>
              <w:spacing w:line="200" w:lineRule="exact"/>
              <w:jc w:val="center"/>
              <w:rPr>
                <w:rFonts w:cs="宋体"/>
                <w:kern w:val="0"/>
                <w:sz w:val="15"/>
                <w:szCs w:val="15"/>
              </w:rPr>
            </w:pPr>
            <w:r>
              <w:rPr>
                <w:rFonts w:hint="eastAsia" w:cs="宋体"/>
                <w:kern w:val="0"/>
                <w:sz w:val="15"/>
                <w:szCs w:val="15"/>
              </w:rPr>
              <w:t>工业固废综合利用率（％）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B6D6FB">
            <w:pPr>
              <w:widowControl/>
              <w:spacing w:line="200" w:lineRule="exact"/>
              <w:jc w:val="center"/>
              <w:rPr>
                <w:rFonts w:cs="宋体"/>
                <w:kern w:val="0"/>
                <w:sz w:val="15"/>
                <w:szCs w:val="15"/>
              </w:rPr>
            </w:pPr>
            <w:r>
              <w:rPr>
                <w:rFonts w:hint="eastAsia" w:cs="宋体"/>
                <w:kern w:val="0"/>
                <w:sz w:val="15"/>
                <w:szCs w:val="15"/>
              </w:rPr>
              <w:t>&gt;70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5188D9">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A0DA5A">
            <w:pPr>
              <w:widowControl/>
              <w:spacing w:line="200" w:lineRule="exact"/>
              <w:jc w:val="center"/>
              <w:rPr>
                <w:rFonts w:cs="宋体"/>
                <w:kern w:val="0"/>
                <w:sz w:val="15"/>
                <w:szCs w:val="15"/>
              </w:rPr>
            </w:pPr>
            <w:r>
              <w:rPr>
                <w:rFonts w:hint="eastAsia" w:cs="宋体"/>
                <w:kern w:val="0"/>
                <w:sz w:val="15"/>
                <w:szCs w:val="15"/>
              </w:rPr>
              <w:t>——</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2B9BD6">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A99BCB">
            <w:pPr>
              <w:widowControl/>
              <w:spacing w:line="200" w:lineRule="exact"/>
              <w:jc w:val="center"/>
              <w:rPr>
                <w:rFonts w:cs="宋体"/>
                <w:kern w:val="0"/>
                <w:sz w:val="15"/>
                <w:szCs w:val="15"/>
              </w:rPr>
            </w:pPr>
            <w:r>
              <w:rPr>
                <w:rFonts w:hint="eastAsia" w:cs="宋体"/>
                <w:kern w:val="0"/>
                <w:sz w:val="15"/>
                <w:szCs w:val="15"/>
              </w:rPr>
              <w:t>&gt;70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DB1321">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03F978">
            <w:pPr>
              <w:widowControl/>
              <w:spacing w:line="200" w:lineRule="exact"/>
              <w:jc w:val="center"/>
              <w:rPr>
                <w:rFonts w:cs="宋体"/>
                <w:kern w:val="0"/>
                <w:sz w:val="15"/>
                <w:szCs w:val="15"/>
              </w:rPr>
            </w:pPr>
            <w:r>
              <w:rPr>
                <w:rFonts w:hint="eastAsia" w:cs="宋体"/>
                <w:kern w:val="0"/>
                <w:sz w:val="15"/>
                <w:szCs w:val="15"/>
              </w:rPr>
              <w:t>完成</w:t>
            </w:r>
          </w:p>
        </w:tc>
      </w:tr>
      <w:tr w14:paraId="2DE3B8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819AEE">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75795E">
            <w:pPr>
              <w:widowControl/>
              <w:spacing w:line="200" w:lineRule="exact"/>
              <w:jc w:val="center"/>
              <w:rPr>
                <w:rFonts w:cs="宋体"/>
                <w:kern w:val="0"/>
                <w:sz w:val="15"/>
                <w:szCs w:val="15"/>
              </w:rPr>
            </w:pPr>
            <w:r>
              <w:rPr>
                <w:rFonts w:hint="eastAsia" w:cs="宋体"/>
                <w:kern w:val="0"/>
                <w:sz w:val="15"/>
                <w:szCs w:val="15"/>
              </w:rPr>
              <w:t>31</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A2AB58">
            <w:pPr>
              <w:widowControl/>
              <w:spacing w:line="200" w:lineRule="exact"/>
              <w:jc w:val="center"/>
              <w:rPr>
                <w:rFonts w:cs="宋体"/>
                <w:kern w:val="0"/>
                <w:sz w:val="15"/>
                <w:szCs w:val="15"/>
              </w:rPr>
            </w:pPr>
            <w:r>
              <w:rPr>
                <w:rFonts w:hint="eastAsia" w:cs="宋体"/>
                <w:kern w:val="0"/>
                <w:sz w:val="15"/>
                <w:szCs w:val="15"/>
              </w:rPr>
              <w:t>集中式饮用水源地水质达标率(％)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DAF23D">
            <w:pPr>
              <w:widowControl/>
              <w:spacing w:line="200" w:lineRule="exact"/>
              <w:jc w:val="center"/>
              <w:rPr>
                <w:rFonts w:cs="宋体"/>
                <w:kern w:val="0"/>
                <w:sz w:val="15"/>
                <w:szCs w:val="15"/>
              </w:rPr>
            </w:pPr>
            <w:r>
              <w:rPr>
                <w:rFonts w:hint="eastAsia" w:cs="宋体"/>
                <w:kern w:val="0"/>
                <w:sz w:val="15"/>
                <w:szCs w:val="15"/>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96A86A">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6F6233">
            <w:pPr>
              <w:widowControl/>
              <w:spacing w:line="200" w:lineRule="exact"/>
              <w:jc w:val="center"/>
              <w:rPr>
                <w:rFonts w:cs="宋体"/>
                <w:kern w:val="0"/>
                <w:sz w:val="15"/>
                <w:szCs w:val="15"/>
              </w:rPr>
            </w:pPr>
            <w:r>
              <w:rPr>
                <w:rFonts w:hint="eastAsia" w:cs="宋体"/>
                <w:kern w:val="0"/>
                <w:sz w:val="15"/>
                <w:szCs w:val="15"/>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992052">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26C73C">
            <w:pPr>
              <w:widowControl/>
              <w:spacing w:line="200" w:lineRule="exact"/>
              <w:jc w:val="center"/>
              <w:rPr>
                <w:rFonts w:cs="宋体"/>
                <w:kern w:val="0"/>
                <w:sz w:val="15"/>
                <w:szCs w:val="15"/>
              </w:rPr>
            </w:pPr>
            <w:r>
              <w:rPr>
                <w:rFonts w:hint="eastAsia" w:cs="宋体"/>
                <w:kern w:val="0"/>
                <w:sz w:val="15"/>
                <w:szCs w:val="15"/>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3C9C72">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2A87F9">
            <w:pPr>
              <w:widowControl/>
              <w:spacing w:line="200" w:lineRule="exact"/>
              <w:jc w:val="center"/>
              <w:rPr>
                <w:rFonts w:cs="宋体"/>
                <w:kern w:val="0"/>
                <w:sz w:val="15"/>
                <w:szCs w:val="15"/>
              </w:rPr>
            </w:pPr>
            <w:r>
              <w:rPr>
                <w:rFonts w:hint="eastAsia" w:cs="宋体"/>
                <w:kern w:val="0"/>
                <w:sz w:val="15"/>
                <w:szCs w:val="15"/>
              </w:rPr>
              <w:t>完成</w:t>
            </w:r>
          </w:p>
        </w:tc>
      </w:tr>
      <w:tr w14:paraId="3AF14C6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38"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2D2216">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31E1B9">
            <w:pPr>
              <w:widowControl/>
              <w:spacing w:line="200" w:lineRule="exact"/>
              <w:jc w:val="center"/>
              <w:rPr>
                <w:rFonts w:cs="宋体"/>
                <w:kern w:val="0"/>
                <w:sz w:val="15"/>
                <w:szCs w:val="15"/>
              </w:rPr>
            </w:pPr>
            <w:r>
              <w:rPr>
                <w:rFonts w:hint="eastAsia" w:cs="宋体"/>
                <w:kern w:val="0"/>
                <w:sz w:val="15"/>
                <w:szCs w:val="15"/>
              </w:rPr>
              <w:t>32</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77C762">
            <w:pPr>
              <w:widowControl/>
              <w:spacing w:line="200" w:lineRule="exact"/>
              <w:jc w:val="center"/>
              <w:rPr>
                <w:rFonts w:cs="宋体"/>
                <w:kern w:val="0"/>
                <w:sz w:val="15"/>
                <w:szCs w:val="15"/>
              </w:rPr>
            </w:pPr>
            <w:r>
              <w:rPr>
                <w:rFonts w:hint="eastAsia" w:cs="宋体"/>
                <w:kern w:val="0"/>
                <w:sz w:val="15"/>
                <w:szCs w:val="15"/>
              </w:rPr>
              <w:t>耕地保有量(平方公里)</w:t>
            </w:r>
          </w:p>
        </w:tc>
        <w:tc>
          <w:tcPr>
            <w:tcW w:w="117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14:paraId="62C17E6A">
            <w:pPr>
              <w:widowControl/>
              <w:spacing w:line="200" w:lineRule="exact"/>
              <w:jc w:val="center"/>
              <w:rPr>
                <w:rFonts w:cs="宋体"/>
                <w:kern w:val="0"/>
                <w:sz w:val="15"/>
                <w:szCs w:val="15"/>
              </w:rPr>
            </w:pPr>
            <w:r>
              <w:rPr>
                <w:rFonts w:hint="eastAsia" w:cs="宋体"/>
                <w:kern w:val="0"/>
                <w:sz w:val="15"/>
                <w:szCs w:val="15"/>
              </w:rPr>
              <w:t>326.02</w:t>
            </w:r>
          </w:p>
        </w:tc>
        <w:tc>
          <w:tcPr>
            <w:tcW w:w="111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14:paraId="4E7834D4">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CDB366">
            <w:pPr>
              <w:widowControl/>
              <w:spacing w:line="200" w:lineRule="exact"/>
              <w:jc w:val="center"/>
              <w:rPr>
                <w:rFonts w:cs="宋体"/>
                <w:kern w:val="0"/>
                <w:sz w:val="15"/>
                <w:szCs w:val="15"/>
              </w:rPr>
            </w:pPr>
            <w:r>
              <w:rPr>
                <w:rFonts w:hint="eastAsia" w:cs="宋体"/>
                <w:kern w:val="0"/>
                <w:sz w:val="15"/>
                <w:szCs w:val="15"/>
              </w:rPr>
              <w:t>266.76</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56B10F">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150BA4">
            <w:pPr>
              <w:widowControl/>
              <w:spacing w:line="200" w:lineRule="exact"/>
              <w:jc w:val="center"/>
              <w:rPr>
                <w:rFonts w:cs="宋体"/>
                <w:kern w:val="0"/>
                <w:sz w:val="15"/>
                <w:szCs w:val="15"/>
              </w:rPr>
            </w:pPr>
            <w:r>
              <w:rPr>
                <w:rFonts w:hint="eastAsia" w:cs="宋体"/>
                <w:kern w:val="0"/>
                <w:sz w:val="15"/>
                <w:szCs w:val="15"/>
              </w:rPr>
              <w:t>326.02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27AE22">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43556D">
            <w:pPr>
              <w:widowControl/>
              <w:spacing w:line="200" w:lineRule="exact"/>
              <w:jc w:val="center"/>
              <w:rPr>
                <w:rFonts w:cs="宋体"/>
                <w:kern w:val="0"/>
                <w:sz w:val="15"/>
                <w:szCs w:val="15"/>
              </w:rPr>
            </w:pPr>
            <w:r>
              <w:rPr>
                <w:rFonts w:hint="eastAsia" w:cs="宋体"/>
                <w:kern w:val="0"/>
                <w:sz w:val="15"/>
                <w:szCs w:val="15"/>
              </w:rPr>
              <w:t>完成</w:t>
            </w:r>
          </w:p>
        </w:tc>
      </w:tr>
      <w:tr w14:paraId="37845B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6"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DA21BA">
            <w:pPr>
              <w:widowControl/>
              <w:jc w:val="center"/>
              <w:textAlignment w:val="center"/>
              <w:rPr>
                <w:rFonts w:ascii="仿宋_GB2312" w:hAnsi="宋体" w:eastAsia="仿宋_GB2312" w:cs="仿宋_GB2312"/>
                <w:b/>
                <w:kern w:val="0"/>
                <w:sz w:val="20"/>
                <w:szCs w:val="20"/>
              </w:rPr>
            </w:pPr>
            <w:r>
              <w:rPr>
                <w:rFonts w:hint="eastAsia" w:ascii="仿宋_GB2312" w:hAnsi="宋体" w:eastAsia="仿宋_GB2312" w:cs="仿宋_GB2312"/>
                <w:b/>
                <w:kern w:val="0"/>
                <w:sz w:val="20"/>
                <w:szCs w:val="20"/>
              </w:rPr>
              <w:t>民生</w:t>
            </w:r>
          </w:p>
          <w:p w14:paraId="45439B17">
            <w:pPr>
              <w:widowControl/>
              <w:jc w:val="center"/>
              <w:textAlignment w:val="center"/>
              <w:rPr>
                <w:rFonts w:ascii="黑体" w:hAnsi="黑体" w:eastAsia="黑体"/>
                <w:b/>
                <w:sz w:val="16"/>
                <w:szCs w:val="16"/>
              </w:rPr>
            </w:pPr>
            <w:r>
              <w:rPr>
                <w:rFonts w:hint="eastAsia" w:ascii="仿宋_GB2312" w:hAnsi="宋体" w:eastAsia="仿宋_GB2312" w:cs="仿宋_GB2312"/>
                <w:b/>
                <w:kern w:val="0"/>
                <w:sz w:val="20"/>
                <w:szCs w:val="20"/>
              </w:rPr>
              <w:t>改善</w:t>
            </w: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E409F8">
            <w:pPr>
              <w:widowControl/>
              <w:spacing w:line="200" w:lineRule="exact"/>
              <w:jc w:val="center"/>
              <w:rPr>
                <w:rFonts w:cs="宋体"/>
                <w:kern w:val="0"/>
                <w:sz w:val="15"/>
                <w:szCs w:val="15"/>
              </w:rPr>
            </w:pPr>
            <w:r>
              <w:rPr>
                <w:rFonts w:hint="eastAsia" w:cs="宋体"/>
                <w:kern w:val="0"/>
                <w:sz w:val="15"/>
                <w:szCs w:val="15"/>
              </w:rPr>
              <w:t>33</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60E1DD">
            <w:pPr>
              <w:widowControl/>
              <w:spacing w:line="200" w:lineRule="exact"/>
              <w:jc w:val="center"/>
              <w:rPr>
                <w:rFonts w:cs="宋体"/>
                <w:kern w:val="0"/>
                <w:sz w:val="15"/>
                <w:szCs w:val="15"/>
              </w:rPr>
            </w:pPr>
            <w:r>
              <w:rPr>
                <w:rFonts w:hint="eastAsia" w:cs="宋体"/>
                <w:kern w:val="0"/>
                <w:sz w:val="15"/>
                <w:szCs w:val="15"/>
              </w:rPr>
              <w:t>城镇居民人均可支配收入（元）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D7FFB9">
            <w:pPr>
              <w:widowControl/>
              <w:spacing w:line="200" w:lineRule="exact"/>
              <w:jc w:val="center"/>
              <w:rPr>
                <w:rFonts w:cs="宋体"/>
                <w:kern w:val="0"/>
                <w:sz w:val="15"/>
                <w:szCs w:val="15"/>
              </w:rPr>
            </w:pPr>
            <w:r>
              <w:rPr>
                <w:rFonts w:hint="eastAsia" w:cs="宋体"/>
                <w:kern w:val="0"/>
                <w:sz w:val="15"/>
                <w:szCs w:val="15"/>
              </w:rPr>
              <w:t>37192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DF7A62">
            <w:pPr>
              <w:widowControl/>
              <w:spacing w:line="200" w:lineRule="exact"/>
              <w:jc w:val="center"/>
              <w:rPr>
                <w:rFonts w:cs="宋体"/>
                <w:kern w:val="0"/>
                <w:sz w:val="15"/>
                <w:szCs w:val="15"/>
              </w:rPr>
            </w:pPr>
            <w:r>
              <w:rPr>
                <w:rFonts w:hint="eastAsia" w:cs="宋体"/>
                <w:kern w:val="0"/>
                <w:sz w:val="15"/>
                <w:szCs w:val="15"/>
              </w:rPr>
              <w:t>8.17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5C15F3">
            <w:pPr>
              <w:widowControl/>
              <w:spacing w:line="200" w:lineRule="exact"/>
              <w:jc w:val="center"/>
              <w:rPr>
                <w:rFonts w:hint="default" w:eastAsia="等线" w:cs="宋体"/>
                <w:kern w:val="0"/>
                <w:sz w:val="15"/>
                <w:szCs w:val="15"/>
                <w:lang w:val="en-US" w:eastAsia="zh-CN"/>
              </w:rPr>
            </w:pPr>
            <w:r>
              <w:rPr>
                <w:rFonts w:hint="eastAsia" w:cs="宋体"/>
                <w:kern w:val="0"/>
                <w:sz w:val="15"/>
                <w:szCs w:val="15"/>
              </w:rPr>
              <w:t>38</w:t>
            </w:r>
            <w:r>
              <w:rPr>
                <w:rFonts w:hint="eastAsia" w:cs="宋体"/>
                <w:kern w:val="0"/>
                <w:sz w:val="15"/>
                <w:szCs w:val="15"/>
                <w:lang w:val="en-US" w:eastAsia="zh-CN"/>
              </w:rPr>
              <w:t>204</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7727F7">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8.8</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6E2B6B">
            <w:pPr>
              <w:widowControl/>
              <w:spacing w:line="200" w:lineRule="exact"/>
              <w:jc w:val="center"/>
              <w:rPr>
                <w:rFonts w:hint="default" w:eastAsia="等线" w:cs="宋体"/>
                <w:kern w:val="0"/>
                <w:sz w:val="15"/>
                <w:szCs w:val="15"/>
                <w:lang w:val="en-US" w:eastAsia="zh-CN"/>
              </w:rPr>
            </w:pPr>
            <w:r>
              <w:rPr>
                <w:rFonts w:hint="eastAsia" w:cs="宋体"/>
                <w:kern w:val="0"/>
                <w:sz w:val="15"/>
                <w:szCs w:val="15"/>
              </w:rPr>
              <w:t>38</w:t>
            </w:r>
            <w:r>
              <w:rPr>
                <w:rFonts w:hint="eastAsia" w:cs="宋体"/>
                <w:kern w:val="0"/>
                <w:sz w:val="15"/>
                <w:szCs w:val="15"/>
                <w:lang w:val="en-US" w:eastAsia="zh-CN"/>
              </w:rPr>
              <w:t>204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6DDA47">
            <w:pPr>
              <w:widowControl/>
              <w:spacing w:line="200" w:lineRule="exact"/>
              <w:jc w:val="center"/>
              <w:rPr>
                <w:rFonts w:cs="宋体"/>
                <w:color w:val="000000"/>
                <w:kern w:val="0"/>
                <w:sz w:val="15"/>
                <w:szCs w:val="15"/>
              </w:rPr>
            </w:pPr>
            <w:r>
              <w:rPr>
                <w:rFonts w:hint="eastAsia" w:cs="宋体"/>
                <w:color w:val="000000"/>
                <w:kern w:val="0"/>
                <w:sz w:val="15"/>
                <w:szCs w:val="15"/>
              </w:rPr>
              <w:t>9.</w:t>
            </w:r>
            <w:r>
              <w:rPr>
                <w:rFonts w:hint="eastAsia" w:cs="宋体"/>
                <w:color w:val="000000"/>
                <w:kern w:val="0"/>
                <w:sz w:val="15"/>
                <w:szCs w:val="15"/>
                <w:lang w:val="en-US" w:eastAsia="zh-CN"/>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1153E5">
            <w:pPr>
              <w:widowControl/>
              <w:spacing w:line="200" w:lineRule="exact"/>
              <w:jc w:val="center"/>
              <w:rPr>
                <w:rFonts w:cs="宋体"/>
                <w:kern w:val="0"/>
                <w:sz w:val="15"/>
                <w:szCs w:val="15"/>
              </w:rPr>
            </w:pPr>
            <w:r>
              <w:rPr>
                <w:rFonts w:hint="eastAsia" w:cs="宋体"/>
                <w:kern w:val="0"/>
                <w:sz w:val="15"/>
                <w:szCs w:val="15"/>
              </w:rPr>
              <w:t>超额完成</w:t>
            </w:r>
          </w:p>
        </w:tc>
      </w:tr>
      <w:tr w14:paraId="6B36B0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2"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07D1B6">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AEE553">
            <w:pPr>
              <w:widowControl/>
              <w:spacing w:line="200" w:lineRule="exact"/>
              <w:jc w:val="center"/>
              <w:rPr>
                <w:rFonts w:cs="宋体"/>
                <w:kern w:val="0"/>
                <w:sz w:val="15"/>
                <w:szCs w:val="15"/>
              </w:rPr>
            </w:pPr>
            <w:r>
              <w:rPr>
                <w:rFonts w:hint="eastAsia" w:cs="宋体"/>
                <w:kern w:val="0"/>
                <w:sz w:val="15"/>
                <w:szCs w:val="15"/>
              </w:rPr>
              <w:t>34</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EB32A6">
            <w:pPr>
              <w:widowControl/>
              <w:spacing w:line="200" w:lineRule="exact"/>
              <w:jc w:val="center"/>
              <w:rPr>
                <w:rFonts w:cs="宋体"/>
                <w:kern w:val="0"/>
                <w:sz w:val="15"/>
                <w:szCs w:val="15"/>
              </w:rPr>
            </w:pPr>
            <w:r>
              <w:rPr>
                <w:rFonts w:hint="eastAsia" w:cs="宋体"/>
                <w:kern w:val="0"/>
                <w:sz w:val="15"/>
                <w:szCs w:val="15"/>
              </w:rPr>
              <w:t>农民人均可支配收入（元）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38BC73">
            <w:pPr>
              <w:widowControl/>
              <w:spacing w:line="200" w:lineRule="exact"/>
              <w:jc w:val="center"/>
              <w:rPr>
                <w:rFonts w:cs="宋体"/>
                <w:kern w:val="0"/>
                <w:sz w:val="15"/>
                <w:szCs w:val="15"/>
              </w:rPr>
            </w:pPr>
            <w:r>
              <w:rPr>
                <w:rFonts w:hint="eastAsia" w:cs="宋体"/>
                <w:kern w:val="0"/>
                <w:sz w:val="15"/>
                <w:szCs w:val="15"/>
              </w:rPr>
              <w:t>17415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A105EC">
            <w:pPr>
              <w:widowControl/>
              <w:spacing w:line="200" w:lineRule="exact"/>
              <w:jc w:val="center"/>
              <w:rPr>
                <w:rFonts w:cs="宋体"/>
                <w:kern w:val="0"/>
                <w:sz w:val="15"/>
                <w:szCs w:val="15"/>
              </w:rPr>
            </w:pPr>
            <w:r>
              <w:rPr>
                <w:rFonts w:hint="eastAsia" w:cs="宋体"/>
                <w:kern w:val="0"/>
                <w:sz w:val="15"/>
                <w:szCs w:val="15"/>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9F9BFE">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17208</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97D10">
            <w:pPr>
              <w:widowControl/>
              <w:spacing w:line="200" w:lineRule="exact"/>
              <w:jc w:val="center"/>
              <w:rPr>
                <w:rFonts w:hint="default" w:eastAsia="等线" w:cs="宋体"/>
                <w:kern w:val="0"/>
                <w:sz w:val="15"/>
                <w:szCs w:val="15"/>
                <w:lang w:val="en-US" w:eastAsia="zh-CN"/>
              </w:rPr>
            </w:pPr>
            <w:r>
              <w:rPr>
                <w:rFonts w:hint="eastAsia" w:cs="宋体"/>
                <w:kern w:val="0"/>
                <w:sz w:val="15"/>
                <w:szCs w:val="15"/>
                <w:lang w:val="en-US" w:eastAsia="zh-CN"/>
              </w:rPr>
              <w:t>9.7</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9E99F9">
            <w:pPr>
              <w:widowControl/>
              <w:spacing w:line="200" w:lineRule="exact"/>
              <w:jc w:val="center"/>
              <w:rPr>
                <w:rFonts w:hint="default" w:eastAsia="等线" w:cs="宋体"/>
                <w:kern w:val="0"/>
                <w:sz w:val="15"/>
                <w:szCs w:val="15"/>
                <w:lang w:val="en-US" w:eastAsia="zh-CN"/>
              </w:rPr>
            </w:pPr>
            <w:r>
              <w:rPr>
                <w:rFonts w:hint="eastAsia" w:cs="宋体"/>
                <w:kern w:val="0"/>
                <w:sz w:val="15"/>
                <w:szCs w:val="15"/>
              </w:rPr>
              <w:t>172</w:t>
            </w:r>
            <w:r>
              <w:rPr>
                <w:rFonts w:hint="eastAsia" w:cs="宋体"/>
                <w:kern w:val="0"/>
                <w:sz w:val="15"/>
                <w:szCs w:val="15"/>
                <w:lang w:val="en-US" w:eastAsia="zh-CN"/>
              </w:rPr>
              <w:t>08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BE9D47">
            <w:pPr>
              <w:widowControl/>
              <w:spacing w:line="200" w:lineRule="exact"/>
              <w:jc w:val="center"/>
              <w:rPr>
                <w:rFonts w:cs="宋体"/>
                <w:color w:val="000000"/>
                <w:kern w:val="0"/>
                <w:sz w:val="15"/>
                <w:szCs w:val="15"/>
              </w:rPr>
            </w:pPr>
            <w:r>
              <w:rPr>
                <w:rFonts w:hint="eastAsia" w:cs="宋体"/>
                <w:color w:val="000000"/>
                <w:kern w:val="0"/>
                <w:sz w:val="15"/>
                <w:szCs w:val="15"/>
                <w:lang w:val="en-US" w:eastAsia="zh-CN"/>
              </w:rPr>
              <w:t>10.04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F750E2">
            <w:pPr>
              <w:widowControl/>
              <w:spacing w:line="200" w:lineRule="exact"/>
              <w:jc w:val="center"/>
              <w:rPr>
                <w:rFonts w:cs="宋体"/>
                <w:kern w:val="0"/>
                <w:sz w:val="15"/>
                <w:szCs w:val="15"/>
              </w:rPr>
            </w:pPr>
            <w:r>
              <w:rPr>
                <w:rFonts w:hint="eastAsia" w:cs="宋体"/>
                <w:kern w:val="0"/>
                <w:sz w:val="15"/>
                <w:szCs w:val="15"/>
              </w:rPr>
              <w:t>完成</w:t>
            </w:r>
          </w:p>
        </w:tc>
      </w:tr>
      <w:tr w14:paraId="706F9E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92"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E5899E">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670F1B">
            <w:pPr>
              <w:widowControl/>
              <w:spacing w:line="200" w:lineRule="exact"/>
              <w:jc w:val="center"/>
              <w:rPr>
                <w:rFonts w:cs="宋体"/>
                <w:kern w:val="0"/>
                <w:sz w:val="15"/>
                <w:szCs w:val="15"/>
              </w:rPr>
            </w:pPr>
            <w:r>
              <w:rPr>
                <w:rFonts w:hint="eastAsia" w:cs="宋体"/>
                <w:kern w:val="0"/>
                <w:sz w:val="15"/>
                <w:szCs w:val="15"/>
              </w:rPr>
              <w:t>35</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02EEF2">
            <w:pPr>
              <w:widowControl/>
              <w:spacing w:line="200" w:lineRule="exact"/>
              <w:jc w:val="center"/>
              <w:rPr>
                <w:rFonts w:cs="宋体"/>
                <w:kern w:val="0"/>
                <w:sz w:val="15"/>
                <w:szCs w:val="15"/>
              </w:rPr>
            </w:pPr>
            <w:r>
              <w:rPr>
                <w:rFonts w:hint="eastAsia" w:cs="宋体"/>
                <w:kern w:val="0"/>
                <w:sz w:val="15"/>
                <w:szCs w:val="15"/>
              </w:rPr>
              <w:t>社会保险覆盖率（%）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9E02EB">
            <w:pPr>
              <w:widowControl/>
              <w:spacing w:line="200" w:lineRule="exact"/>
              <w:jc w:val="center"/>
              <w:rPr>
                <w:rFonts w:cs="宋体"/>
                <w:kern w:val="0"/>
                <w:sz w:val="15"/>
                <w:szCs w:val="15"/>
              </w:rPr>
            </w:pPr>
            <w:r>
              <w:rPr>
                <w:rFonts w:hint="eastAsia" w:cs="宋体"/>
                <w:kern w:val="0"/>
                <w:sz w:val="15"/>
                <w:szCs w:val="15"/>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A1C427">
            <w:pPr>
              <w:widowControl/>
              <w:spacing w:line="200" w:lineRule="exact"/>
              <w:jc w:val="center"/>
              <w:rPr>
                <w:rFonts w:cs="宋体"/>
                <w:kern w:val="0"/>
                <w:sz w:val="15"/>
                <w:szCs w:val="15"/>
              </w:rPr>
            </w:pPr>
            <w:r>
              <w:rPr>
                <w:rFonts w:hint="eastAsia" w:cs="宋体"/>
                <w:kern w:val="0"/>
                <w:sz w:val="15"/>
                <w:szCs w:val="15"/>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E2D289">
            <w:pPr>
              <w:widowControl/>
              <w:spacing w:line="200" w:lineRule="exact"/>
              <w:jc w:val="center"/>
              <w:rPr>
                <w:rFonts w:cs="宋体"/>
                <w:kern w:val="0"/>
                <w:sz w:val="15"/>
                <w:szCs w:val="15"/>
              </w:rPr>
            </w:pPr>
            <w:r>
              <w:rPr>
                <w:rFonts w:hint="eastAsia" w:cs="宋体"/>
                <w:kern w:val="0"/>
                <w:sz w:val="15"/>
                <w:szCs w:val="15"/>
              </w:rPr>
              <w:t>93.5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1A15B9">
            <w:pPr>
              <w:widowControl/>
              <w:spacing w:line="200" w:lineRule="exact"/>
              <w:jc w:val="center"/>
              <w:rPr>
                <w:rFonts w:cs="宋体"/>
                <w:kern w:val="0"/>
                <w:sz w:val="15"/>
                <w:szCs w:val="15"/>
              </w:rPr>
            </w:pPr>
            <w:r>
              <w:rPr>
                <w:rFonts w:hint="eastAsia" w:cs="宋体"/>
                <w:kern w:val="0"/>
                <w:sz w:val="15"/>
                <w:szCs w:val="15"/>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01CFC0">
            <w:pPr>
              <w:widowControl/>
              <w:spacing w:line="200" w:lineRule="exact"/>
              <w:jc w:val="center"/>
              <w:rPr>
                <w:rFonts w:cs="宋体"/>
                <w:kern w:val="0"/>
                <w:sz w:val="15"/>
                <w:szCs w:val="15"/>
              </w:rPr>
            </w:pPr>
            <w:r>
              <w:rPr>
                <w:rFonts w:hint="eastAsia" w:cs="宋体"/>
                <w:kern w:val="0"/>
                <w:sz w:val="15"/>
                <w:szCs w:val="15"/>
              </w:rPr>
              <w:t>93.5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AE54D0">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27EF0E">
            <w:pPr>
              <w:widowControl/>
              <w:spacing w:line="200" w:lineRule="exact"/>
              <w:jc w:val="center"/>
              <w:rPr>
                <w:rFonts w:cs="宋体"/>
                <w:kern w:val="0"/>
                <w:sz w:val="15"/>
                <w:szCs w:val="15"/>
              </w:rPr>
            </w:pPr>
            <w:r>
              <w:rPr>
                <w:rFonts w:hint="eastAsia" w:cs="宋体"/>
                <w:kern w:val="0"/>
                <w:sz w:val="15"/>
                <w:szCs w:val="15"/>
              </w:rPr>
              <w:t>超额完成</w:t>
            </w:r>
          </w:p>
        </w:tc>
      </w:tr>
      <w:tr w14:paraId="57543D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76C657">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132384">
            <w:pPr>
              <w:widowControl/>
              <w:spacing w:line="200" w:lineRule="exact"/>
              <w:jc w:val="center"/>
              <w:rPr>
                <w:rFonts w:cs="宋体"/>
                <w:kern w:val="0"/>
                <w:sz w:val="15"/>
                <w:szCs w:val="15"/>
              </w:rPr>
            </w:pPr>
            <w:r>
              <w:rPr>
                <w:rFonts w:hint="eastAsia" w:cs="宋体"/>
                <w:kern w:val="0"/>
                <w:sz w:val="15"/>
                <w:szCs w:val="15"/>
              </w:rPr>
              <w:t>36</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EE595B">
            <w:pPr>
              <w:widowControl/>
              <w:spacing w:line="200" w:lineRule="exact"/>
              <w:jc w:val="center"/>
              <w:rPr>
                <w:rFonts w:cs="宋体"/>
                <w:kern w:val="0"/>
                <w:sz w:val="15"/>
                <w:szCs w:val="15"/>
              </w:rPr>
            </w:pPr>
            <w:r>
              <w:rPr>
                <w:rFonts w:hint="eastAsia" w:cs="宋体"/>
                <w:kern w:val="0"/>
                <w:sz w:val="15"/>
                <w:szCs w:val="15"/>
              </w:rPr>
              <w:t>城镇棚户区改造数量（户）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118EAE">
            <w:pPr>
              <w:widowControl/>
              <w:spacing w:line="200" w:lineRule="exact"/>
              <w:jc w:val="center"/>
              <w:rPr>
                <w:rFonts w:cs="宋体"/>
                <w:kern w:val="0"/>
                <w:sz w:val="15"/>
                <w:szCs w:val="15"/>
              </w:rPr>
            </w:pPr>
            <w:r>
              <w:rPr>
                <w:rFonts w:hint="eastAsia" w:cs="宋体"/>
                <w:kern w:val="0"/>
                <w:sz w:val="15"/>
                <w:szCs w:val="15"/>
              </w:rPr>
              <w:t>14242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22922B">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F42256">
            <w:pPr>
              <w:widowControl/>
              <w:spacing w:line="200" w:lineRule="exact"/>
              <w:jc w:val="center"/>
              <w:rPr>
                <w:rFonts w:cs="宋体"/>
                <w:kern w:val="0"/>
                <w:sz w:val="15"/>
                <w:szCs w:val="15"/>
              </w:rPr>
            </w:pPr>
            <w:r>
              <w:rPr>
                <w:rFonts w:hint="eastAsia" w:cs="宋体"/>
                <w:kern w:val="0"/>
                <w:sz w:val="15"/>
                <w:szCs w:val="15"/>
              </w:rPr>
              <w:t xml:space="preserve">2100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8457AD">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B4E9BF">
            <w:pPr>
              <w:widowControl/>
              <w:spacing w:line="200" w:lineRule="exact"/>
              <w:jc w:val="center"/>
              <w:rPr>
                <w:rFonts w:cs="宋体"/>
                <w:kern w:val="0"/>
                <w:sz w:val="15"/>
                <w:szCs w:val="15"/>
              </w:rPr>
            </w:pPr>
            <w:r>
              <w:rPr>
                <w:rFonts w:hint="eastAsia" w:cs="宋体"/>
                <w:b w:val="0"/>
                <w:bCs w:val="0"/>
                <w:kern w:val="0"/>
                <w:sz w:val="15"/>
                <w:szCs w:val="15"/>
              </w:rPr>
              <w:t>21876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4CE4C2">
            <w:pPr>
              <w:widowControl/>
              <w:spacing w:line="200" w:lineRule="exact"/>
              <w:jc w:val="center"/>
              <w:rPr>
                <w:rFonts w:cs="宋体"/>
                <w:kern w:val="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275C14">
            <w:pPr>
              <w:widowControl/>
              <w:spacing w:line="200" w:lineRule="exact"/>
              <w:jc w:val="center"/>
              <w:rPr>
                <w:rFonts w:cs="宋体"/>
                <w:kern w:val="0"/>
                <w:sz w:val="15"/>
                <w:szCs w:val="15"/>
              </w:rPr>
            </w:pPr>
            <w:r>
              <w:rPr>
                <w:rFonts w:hint="eastAsia" w:cs="宋体"/>
                <w:kern w:val="0"/>
                <w:sz w:val="15"/>
                <w:szCs w:val="15"/>
              </w:rPr>
              <w:t>超额完成</w:t>
            </w:r>
          </w:p>
        </w:tc>
      </w:tr>
      <w:tr w14:paraId="12B684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18CF64">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D716D3">
            <w:pPr>
              <w:widowControl/>
              <w:spacing w:line="200" w:lineRule="exact"/>
              <w:jc w:val="center"/>
              <w:rPr>
                <w:rFonts w:cs="宋体"/>
                <w:kern w:val="0"/>
                <w:sz w:val="15"/>
                <w:szCs w:val="15"/>
              </w:rPr>
            </w:pPr>
            <w:r>
              <w:rPr>
                <w:rFonts w:hint="eastAsia" w:cs="宋体"/>
                <w:kern w:val="0"/>
                <w:sz w:val="15"/>
                <w:szCs w:val="15"/>
              </w:rPr>
              <w:t>37</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5EED81">
            <w:pPr>
              <w:widowControl/>
              <w:spacing w:line="200" w:lineRule="exact"/>
              <w:jc w:val="center"/>
              <w:rPr>
                <w:rFonts w:cs="宋体"/>
                <w:kern w:val="0"/>
                <w:sz w:val="15"/>
                <w:szCs w:val="15"/>
              </w:rPr>
            </w:pPr>
            <w:r>
              <w:rPr>
                <w:rFonts w:hint="eastAsia" w:cs="宋体"/>
                <w:kern w:val="0"/>
                <w:sz w:val="15"/>
                <w:szCs w:val="15"/>
              </w:rPr>
              <w:t>城镇登记失业率（％）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CA55AF">
            <w:pPr>
              <w:widowControl/>
              <w:spacing w:line="200" w:lineRule="exact"/>
              <w:jc w:val="center"/>
              <w:rPr>
                <w:rFonts w:cs="宋体"/>
                <w:kern w:val="0"/>
                <w:sz w:val="15"/>
                <w:szCs w:val="15"/>
              </w:rPr>
            </w:pPr>
            <w:r>
              <w:rPr>
                <w:rFonts w:hint="eastAsia" w:cs="宋体"/>
                <w:kern w:val="0"/>
                <w:sz w:val="15"/>
                <w:szCs w:val="15"/>
              </w:rPr>
              <w:t>&lt;4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A2F8F6">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E37E34">
            <w:pPr>
              <w:widowControl/>
              <w:spacing w:line="200" w:lineRule="exact"/>
              <w:jc w:val="center"/>
              <w:rPr>
                <w:rFonts w:cs="宋体"/>
                <w:kern w:val="0"/>
                <w:sz w:val="15"/>
                <w:szCs w:val="15"/>
              </w:rPr>
            </w:pPr>
            <w:r>
              <w:rPr>
                <w:rFonts w:hint="eastAsia" w:cs="宋体"/>
                <w:kern w:val="0"/>
                <w:sz w:val="15"/>
                <w:szCs w:val="15"/>
              </w:rPr>
              <w:t>&lt;4.2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2F46B2">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85FFF9">
            <w:pPr>
              <w:widowControl/>
              <w:spacing w:line="200" w:lineRule="exact"/>
              <w:jc w:val="center"/>
              <w:rPr>
                <w:rFonts w:cs="宋体"/>
                <w:kern w:val="0"/>
                <w:sz w:val="15"/>
                <w:szCs w:val="15"/>
              </w:rPr>
            </w:pPr>
            <w:r>
              <w:rPr>
                <w:rFonts w:hint="eastAsia" w:cs="宋体"/>
                <w:kern w:val="0"/>
                <w:sz w:val="15"/>
                <w:szCs w:val="15"/>
              </w:rPr>
              <w:t>&lt;4.2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CE29C5">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F0C69D">
            <w:pPr>
              <w:widowControl/>
              <w:spacing w:line="200" w:lineRule="exact"/>
              <w:jc w:val="center"/>
              <w:rPr>
                <w:rFonts w:cs="宋体"/>
                <w:kern w:val="0"/>
                <w:sz w:val="15"/>
                <w:szCs w:val="15"/>
              </w:rPr>
            </w:pPr>
            <w:r>
              <w:rPr>
                <w:rFonts w:hint="eastAsia" w:cs="宋体"/>
                <w:kern w:val="0"/>
                <w:sz w:val="15"/>
                <w:szCs w:val="15"/>
              </w:rPr>
              <w:t>基本完成</w:t>
            </w:r>
          </w:p>
        </w:tc>
      </w:tr>
      <w:tr w14:paraId="68A035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7"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13D504">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369468">
            <w:pPr>
              <w:widowControl/>
              <w:spacing w:line="200" w:lineRule="exact"/>
              <w:jc w:val="center"/>
              <w:rPr>
                <w:rFonts w:cs="宋体"/>
                <w:kern w:val="0"/>
                <w:sz w:val="15"/>
                <w:szCs w:val="15"/>
              </w:rPr>
            </w:pPr>
            <w:r>
              <w:rPr>
                <w:rFonts w:hint="eastAsia" w:cs="宋体"/>
                <w:kern w:val="0"/>
                <w:sz w:val="15"/>
                <w:szCs w:val="15"/>
              </w:rPr>
              <w:t>38</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352F6E">
            <w:pPr>
              <w:widowControl/>
              <w:spacing w:line="200" w:lineRule="exact"/>
              <w:jc w:val="center"/>
              <w:rPr>
                <w:rFonts w:cs="宋体"/>
                <w:kern w:val="0"/>
                <w:sz w:val="15"/>
                <w:szCs w:val="15"/>
              </w:rPr>
            </w:pPr>
            <w:r>
              <w:rPr>
                <w:rFonts w:hint="eastAsia" w:cs="宋体"/>
                <w:kern w:val="0"/>
                <w:sz w:val="15"/>
                <w:szCs w:val="15"/>
              </w:rPr>
              <w:t>学前三年教育毛入园率（％）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FC7028">
            <w:pPr>
              <w:widowControl/>
              <w:spacing w:line="200" w:lineRule="exact"/>
              <w:jc w:val="center"/>
              <w:rPr>
                <w:rFonts w:cs="宋体"/>
                <w:kern w:val="0"/>
                <w:sz w:val="15"/>
                <w:szCs w:val="15"/>
              </w:rPr>
            </w:pPr>
            <w:r>
              <w:rPr>
                <w:rFonts w:hint="eastAsia" w:cs="宋体"/>
                <w:kern w:val="0"/>
                <w:sz w:val="15"/>
                <w:szCs w:val="15"/>
              </w:rPr>
              <w:t>94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7594E0">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C1498F">
            <w:pPr>
              <w:widowControl/>
              <w:spacing w:line="200" w:lineRule="exact"/>
              <w:jc w:val="center"/>
              <w:rPr>
                <w:rFonts w:cs="宋体"/>
                <w:kern w:val="0"/>
                <w:sz w:val="15"/>
                <w:szCs w:val="15"/>
              </w:rPr>
            </w:pPr>
            <w:r>
              <w:rPr>
                <w:rFonts w:hint="eastAsia" w:cs="宋体"/>
                <w:kern w:val="0"/>
                <w:sz w:val="15"/>
                <w:szCs w:val="15"/>
              </w:rPr>
              <w:t>94,5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83B605">
            <w:pPr>
              <w:widowControl/>
              <w:spacing w:line="200" w:lineRule="exact"/>
              <w:jc w:val="center"/>
              <w:rPr>
                <w:rFonts w:cs="宋体"/>
                <w:kern w:val="0"/>
                <w:sz w:val="15"/>
                <w:szCs w:val="15"/>
              </w:rPr>
            </w:pPr>
            <w:r>
              <w:rPr>
                <w:rFonts w:hint="eastAsia" w:cs="宋体"/>
                <w:kern w:val="0"/>
                <w:sz w:val="15"/>
                <w:szCs w:val="15"/>
              </w:rPr>
              <w:t>0.83</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40057">
            <w:pPr>
              <w:widowControl/>
              <w:spacing w:line="200" w:lineRule="exact"/>
              <w:jc w:val="center"/>
              <w:rPr>
                <w:rFonts w:cs="宋体"/>
                <w:kern w:val="0"/>
                <w:sz w:val="15"/>
                <w:szCs w:val="15"/>
              </w:rPr>
            </w:pPr>
            <w:r>
              <w:rPr>
                <w:rFonts w:hint="eastAsia" w:cs="宋体"/>
                <w:kern w:val="0"/>
                <w:sz w:val="15"/>
                <w:szCs w:val="15"/>
              </w:rPr>
              <w:t>94,5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BBB6C3">
            <w:pPr>
              <w:widowControl/>
              <w:spacing w:line="200" w:lineRule="exact"/>
              <w:jc w:val="center"/>
              <w:rPr>
                <w:rFonts w:cs="宋体"/>
                <w:kern w:val="0"/>
                <w:sz w:val="15"/>
                <w:szCs w:val="15"/>
              </w:rPr>
            </w:pPr>
            <w:r>
              <w:rPr>
                <w:rFonts w:hint="eastAsia" w:cs="宋体"/>
                <w:kern w:val="0"/>
                <w:sz w:val="15"/>
                <w:szCs w:val="15"/>
              </w:rPr>
              <w:t>0.83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177AFB">
            <w:pPr>
              <w:widowControl/>
              <w:spacing w:line="200" w:lineRule="exact"/>
              <w:jc w:val="center"/>
              <w:rPr>
                <w:rFonts w:cs="宋体"/>
                <w:kern w:val="0"/>
                <w:sz w:val="15"/>
                <w:szCs w:val="15"/>
              </w:rPr>
            </w:pPr>
            <w:r>
              <w:rPr>
                <w:rFonts w:hint="eastAsia" w:cs="宋体"/>
                <w:kern w:val="0"/>
                <w:sz w:val="15"/>
                <w:szCs w:val="15"/>
              </w:rPr>
              <w:t>超额完成</w:t>
            </w:r>
          </w:p>
        </w:tc>
      </w:tr>
      <w:tr w14:paraId="5C03581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4"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1BD9E6">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9EC792">
            <w:pPr>
              <w:widowControl/>
              <w:spacing w:line="200" w:lineRule="exact"/>
              <w:jc w:val="center"/>
              <w:rPr>
                <w:rFonts w:cs="宋体"/>
                <w:kern w:val="0"/>
                <w:sz w:val="15"/>
                <w:szCs w:val="15"/>
              </w:rPr>
            </w:pPr>
            <w:r>
              <w:rPr>
                <w:rFonts w:hint="eastAsia" w:cs="宋体"/>
                <w:kern w:val="0"/>
                <w:sz w:val="15"/>
                <w:szCs w:val="15"/>
              </w:rPr>
              <w:t>39</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B334F5">
            <w:pPr>
              <w:widowControl/>
              <w:spacing w:line="200" w:lineRule="exact"/>
              <w:jc w:val="center"/>
              <w:rPr>
                <w:rFonts w:cs="宋体"/>
                <w:kern w:val="0"/>
                <w:sz w:val="15"/>
                <w:szCs w:val="15"/>
              </w:rPr>
            </w:pPr>
            <w:r>
              <w:rPr>
                <w:rFonts w:hint="eastAsia" w:cs="宋体"/>
                <w:kern w:val="0"/>
                <w:sz w:val="15"/>
                <w:szCs w:val="15"/>
              </w:rPr>
              <w:t>九年义务教育巩固率（％）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481DB2">
            <w:pPr>
              <w:widowControl/>
              <w:spacing w:line="200" w:lineRule="exact"/>
              <w:jc w:val="center"/>
              <w:rPr>
                <w:rFonts w:cs="宋体"/>
                <w:kern w:val="0"/>
                <w:sz w:val="15"/>
                <w:szCs w:val="15"/>
              </w:rPr>
            </w:pPr>
            <w:r>
              <w:rPr>
                <w:rFonts w:hint="eastAsia" w:cs="宋体"/>
                <w:kern w:val="0"/>
                <w:sz w:val="15"/>
                <w:szCs w:val="15"/>
              </w:rPr>
              <w:t>&gt;96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E5BFF8">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E36E09">
            <w:pPr>
              <w:widowControl/>
              <w:spacing w:line="200" w:lineRule="exact"/>
              <w:jc w:val="center"/>
              <w:rPr>
                <w:rFonts w:cs="宋体"/>
                <w:kern w:val="0"/>
                <w:sz w:val="15"/>
                <w:szCs w:val="15"/>
              </w:rPr>
            </w:pPr>
            <w:r>
              <w:rPr>
                <w:rFonts w:hint="eastAsia" w:cs="宋体"/>
                <w:kern w:val="0"/>
                <w:sz w:val="15"/>
                <w:szCs w:val="15"/>
              </w:rPr>
              <w:t>95以上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E26BDA">
            <w:pPr>
              <w:widowControl/>
              <w:spacing w:line="200" w:lineRule="exact"/>
              <w:jc w:val="center"/>
              <w:rPr>
                <w:rFonts w:cs="宋体"/>
                <w:kern w:val="0"/>
                <w:sz w:val="15"/>
                <w:szCs w:val="15"/>
              </w:rPr>
            </w:pPr>
            <w:r>
              <w:rPr>
                <w:rFonts w:hint="eastAsia" w:cs="宋体"/>
                <w:kern w:val="0"/>
                <w:sz w:val="15"/>
                <w:szCs w:val="15"/>
              </w:rPr>
              <w:t>国家和省最新要求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E57083">
            <w:pPr>
              <w:widowControl/>
              <w:spacing w:line="200" w:lineRule="exact"/>
              <w:jc w:val="center"/>
              <w:rPr>
                <w:rFonts w:cs="宋体"/>
                <w:kern w:val="0"/>
                <w:sz w:val="15"/>
                <w:szCs w:val="15"/>
              </w:rPr>
            </w:pPr>
            <w:r>
              <w:rPr>
                <w:rFonts w:hint="eastAsia" w:cs="宋体"/>
                <w:kern w:val="0"/>
                <w:sz w:val="15"/>
                <w:szCs w:val="15"/>
              </w:rPr>
              <w:t>95以上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EC6629">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450B83">
            <w:pPr>
              <w:widowControl/>
              <w:spacing w:line="200" w:lineRule="exact"/>
              <w:jc w:val="center"/>
              <w:rPr>
                <w:rFonts w:cs="宋体"/>
                <w:kern w:val="0"/>
                <w:sz w:val="15"/>
                <w:szCs w:val="15"/>
              </w:rPr>
            </w:pPr>
            <w:r>
              <w:rPr>
                <w:rFonts w:hint="eastAsia" w:cs="宋体"/>
                <w:kern w:val="0"/>
                <w:sz w:val="15"/>
                <w:szCs w:val="15"/>
              </w:rPr>
              <w:t>基本完成</w:t>
            </w:r>
          </w:p>
        </w:tc>
      </w:tr>
      <w:tr w14:paraId="1ABEE1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6"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2D902D">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E9583B">
            <w:pPr>
              <w:widowControl/>
              <w:spacing w:line="200" w:lineRule="exact"/>
              <w:jc w:val="center"/>
              <w:rPr>
                <w:rFonts w:cs="宋体"/>
                <w:kern w:val="0"/>
                <w:sz w:val="15"/>
                <w:szCs w:val="15"/>
              </w:rPr>
            </w:pPr>
            <w:r>
              <w:rPr>
                <w:rFonts w:hint="eastAsia" w:cs="宋体"/>
                <w:kern w:val="0"/>
                <w:sz w:val="15"/>
                <w:szCs w:val="15"/>
              </w:rPr>
              <w:t>40</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57BC23">
            <w:pPr>
              <w:widowControl/>
              <w:spacing w:line="200" w:lineRule="exact"/>
              <w:jc w:val="center"/>
              <w:rPr>
                <w:rFonts w:cs="宋体"/>
                <w:kern w:val="0"/>
                <w:sz w:val="15"/>
                <w:szCs w:val="15"/>
              </w:rPr>
            </w:pPr>
            <w:r>
              <w:rPr>
                <w:rFonts w:hint="eastAsia" w:cs="宋体"/>
                <w:kern w:val="0"/>
                <w:sz w:val="15"/>
                <w:szCs w:val="15"/>
              </w:rPr>
              <w:t>高中阶段毛入学率（％）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7F420B">
            <w:pPr>
              <w:widowControl/>
              <w:spacing w:line="200" w:lineRule="exact"/>
              <w:jc w:val="center"/>
              <w:rPr>
                <w:rFonts w:cs="宋体"/>
                <w:kern w:val="0"/>
                <w:sz w:val="15"/>
                <w:szCs w:val="15"/>
              </w:rPr>
            </w:pPr>
            <w:r>
              <w:rPr>
                <w:rFonts w:hint="eastAsia" w:cs="宋体"/>
                <w:kern w:val="0"/>
                <w:sz w:val="15"/>
                <w:szCs w:val="15"/>
              </w:rPr>
              <w:t>&gt;95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1FA55F">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C801F2">
            <w:pPr>
              <w:widowControl/>
              <w:spacing w:line="200" w:lineRule="exact"/>
              <w:jc w:val="center"/>
              <w:rPr>
                <w:rFonts w:cs="宋体"/>
                <w:kern w:val="0"/>
                <w:sz w:val="15"/>
                <w:szCs w:val="15"/>
              </w:rPr>
            </w:pPr>
            <w:r>
              <w:rPr>
                <w:rFonts w:hint="eastAsia" w:cs="宋体"/>
                <w:kern w:val="0"/>
                <w:sz w:val="15"/>
                <w:szCs w:val="15"/>
              </w:rPr>
              <w:t>95以上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EE9669">
            <w:pPr>
              <w:widowControl/>
              <w:spacing w:line="200" w:lineRule="exact"/>
              <w:jc w:val="center"/>
              <w:rPr>
                <w:rFonts w:cs="宋体"/>
                <w:kern w:val="0"/>
                <w:sz w:val="15"/>
                <w:szCs w:val="15"/>
              </w:rPr>
            </w:pPr>
            <w:r>
              <w:rPr>
                <w:rFonts w:hint="eastAsia" w:cs="宋体"/>
                <w:kern w:val="0"/>
                <w:sz w:val="15"/>
                <w:szCs w:val="15"/>
              </w:rPr>
              <w:t>国家和省最新要求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6A319F">
            <w:pPr>
              <w:widowControl/>
              <w:spacing w:line="200" w:lineRule="exact"/>
              <w:jc w:val="center"/>
              <w:rPr>
                <w:rFonts w:cs="宋体"/>
                <w:kern w:val="0"/>
                <w:sz w:val="15"/>
                <w:szCs w:val="15"/>
              </w:rPr>
            </w:pPr>
            <w:r>
              <w:rPr>
                <w:rFonts w:hint="eastAsia" w:cs="宋体"/>
                <w:kern w:val="0"/>
                <w:sz w:val="15"/>
                <w:szCs w:val="15"/>
              </w:rPr>
              <w:t>95以上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239EEB">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FAE32A">
            <w:pPr>
              <w:widowControl/>
              <w:spacing w:line="200" w:lineRule="exact"/>
              <w:jc w:val="center"/>
              <w:rPr>
                <w:rFonts w:cs="宋体"/>
                <w:kern w:val="0"/>
                <w:sz w:val="15"/>
                <w:szCs w:val="15"/>
              </w:rPr>
            </w:pPr>
            <w:r>
              <w:rPr>
                <w:rFonts w:hint="eastAsia" w:cs="宋体"/>
                <w:kern w:val="0"/>
                <w:sz w:val="15"/>
                <w:szCs w:val="15"/>
              </w:rPr>
              <w:t>完成</w:t>
            </w:r>
          </w:p>
        </w:tc>
      </w:tr>
      <w:tr w14:paraId="235ED51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2"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197A28">
            <w:pPr>
              <w:jc w:val="center"/>
              <w:rPr>
                <w:rFonts w:ascii="黑体" w:hAnsi="黑体" w:eastAsia="黑体"/>
                <w:b/>
                <w:sz w:val="16"/>
                <w:szCs w:val="16"/>
              </w:rPr>
            </w:pPr>
          </w:p>
        </w:tc>
        <w:tc>
          <w:tcPr>
            <w:tcW w:w="3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8723A8">
            <w:pPr>
              <w:widowControl/>
              <w:spacing w:line="200" w:lineRule="exact"/>
              <w:jc w:val="center"/>
              <w:rPr>
                <w:rFonts w:cs="宋体"/>
                <w:kern w:val="0"/>
                <w:sz w:val="15"/>
                <w:szCs w:val="15"/>
              </w:rPr>
            </w:pPr>
            <w:r>
              <w:rPr>
                <w:rFonts w:hint="eastAsia" w:cs="宋体"/>
                <w:kern w:val="0"/>
                <w:sz w:val="15"/>
                <w:szCs w:val="15"/>
              </w:rPr>
              <w:t>41</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98615F">
            <w:pPr>
              <w:widowControl/>
              <w:spacing w:line="200" w:lineRule="exact"/>
              <w:jc w:val="center"/>
              <w:rPr>
                <w:rFonts w:cs="宋体"/>
                <w:kern w:val="0"/>
                <w:sz w:val="15"/>
                <w:szCs w:val="15"/>
              </w:rPr>
            </w:pPr>
            <w:r>
              <w:rPr>
                <w:rFonts w:hint="eastAsia" w:cs="宋体"/>
                <w:kern w:val="0"/>
                <w:sz w:val="15"/>
                <w:szCs w:val="15"/>
              </w:rPr>
              <w:t>人均受教育年限（年）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099F6C">
            <w:pPr>
              <w:widowControl/>
              <w:spacing w:line="200" w:lineRule="exact"/>
              <w:jc w:val="center"/>
              <w:rPr>
                <w:rFonts w:cs="宋体"/>
                <w:kern w:val="0"/>
                <w:sz w:val="15"/>
                <w:szCs w:val="15"/>
              </w:rPr>
            </w:pPr>
            <w:r>
              <w:rPr>
                <w:rFonts w:hint="eastAsia" w:cs="宋体"/>
                <w:kern w:val="0"/>
                <w:sz w:val="15"/>
                <w:szCs w:val="15"/>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B3DE83">
            <w:pPr>
              <w:widowControl/>
              <w:spacing w:line="200" w:lineRule="exact"/>
              <w:jc w:val="center"/>
              <w:rPr>
                <w:rFonts w:cs="宋体"/>
                <w:kern w:val="0"/>
                <w:sz w:val="15"/>
                <w:szCs w:val="15"/>
              </w:rPr>
            </w:pPr>
            <w:r>
              <w:rPr>
                <w:rFonts w:hint="eastAsia" w:cs="宋体"/>
                <w:kern w:val="0"/>
                <w:sz w:val="15"/>
                <w:szCs w:val="15"/>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5E4862">
            <w:pPr>
              <w:widowControl/>
              <w:spacing w:line="200" w:lineRule="exact"/>
              <w:jc w:val="center"/>
              <w:rPr>
                <w:rFonts w:cs="宋体"/>
                <w:kern w:val="0"/>
                <w:sz w:val="15"/>
                <w:szCs w:val="15"/>
              </w:rPr>
            </w:pPr>
            <w:r>
              <w:rPr>
                <w:rFonts w:hint="eastAsia" w:cs="宋体"/>
                <w:kern w:val="0"/>
                <w:sz w:val="15"/>
                <w:szCs w:val="15"/>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3450DF">
            <w:pPr>
              <w:widowControl/>
              <w:spacing w:line="200" w:lineRule="exact"/>
              <w:jc w:val="center"/>
              <w:rPr>
                <w:rFonts w:cs="宋体"/>
                <w:kern w:val="0"/>
                <w:sz w:val="15"/>
                <w:szCs w:val="15"/>
              </w:rPr>
            </w:pPr>
            <w:r>
              <w:rPr>
                <w:rFonts w:hint="eastAsia" w:cs="宋体"/>
                <w:kern w:val="0"/>
                <w:sz w:val="15"/>
                <w:szCs w:val="15"/>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9E25CF">
            <w:pPr>
              <w:widowControl/>
              <w:spacing w:line="200" w:lineRule="exact"/>
              <w:jc w:val="center"/>
              <w:rPr>
                <w:rFonts w:cs="宋体"/>
                <w:kern w:val="0"/>
                <w:sz w:val="15"/>
                <w:szCs w:val="15"/>
              </w:rPr>
            </w:pPr>
            <w:r>
              <w:rPr>
                <w:rFonts w:hint="eastAsia" w:cs="宋体"/>
                <w:kern w:val="0"/>
                <w:sz w:val="15"/>
                <w:szCs w:val="15"/>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5F78E8">
            <w:pPr>
              <w:widowControl/>
              <w:spacing w:line="200" w:lineRule="exact"/>
              <w:jc w:val="center"/>
              <w:rPr>
                <w:rFonts w:cs="宋体"/>
                <w:kern w:val="0"/>
                <w:sz w:val="15"/>
                <w:szCs w:val="15"/>
              </w:rPr>
            </w:pPr>
            <w:r>
              <w:rPr>
                <w:rFonts w:hint="eastAsia" w:cs="宋体"/>
                <w:kern w:val="0"/>
                <w:sz w:val="15"/>
                <w:szCs w:val="15"/>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7D8683">
            <w:pPr>
              <w:widowControl/>
              <w:spacing w:line="200" w:lineRule="exact"/>
              <w:jc w:val="center"/>
              <w:rPr>
                <w:rFonts w:cs="宋体"/>
                <w:kern w:val="0"/>
                <w:sz w:val="15"/>
                <w:szCs w:val="15"/>
              </w:rPr>
            </w:pPr>
            <w:r>
              <w:rPr>
                <w:rFonts w:hint="eastAsia" w:cs="宋体"/>
                <w:kern w:val="0"/>
                <w:sz w:val="15"/>
                <w:szCs w:val="15"/>
              </w:rPr>
              <w:t>完成</w:t>
            </w:r>
          </w:p>
        </w:tc>
      </w:tr>
    </w:tbl>
    <w:p w14:paraId="26404C99">
      <w:pPr>
        <w:pStyle w:val="6"/>
        <w:keepNext/>
        <w:jc w:val="center"/>
        <w:rPr>
          <w:rFonts w:ascii="黑体" w:hAnsi="黑体"/>
          <w:b/>
          <w:bCs/>
        </w:rPr>
      </w:pPr>
    </w:p>
    <w:p w14:paraId="5B9B0840"/>
    <w:p w14:paraId="05AC5760">
      <w:pPr>
        <w:pStyle w:val="21"/>
        <w:spacing w:line="560" w:lineRule="exact"/>
        <w:ind w:firstLine="0" w:firstLineChars="0"/>
        <w:rPr>
          <w:rFonts w:ascii="仿宋_GB2312" w:hAnsi="仿宋_GB2312" w:eastAsia="仿宋_GB2312" w:cs="仿宋_GB2312"/>
          <w:sz w:val="32"/>
          <w:szCs w:val="32"/>
        </w:rPr>
      </w:pPr>
    </w:p>
    <w:p w14:paraId="5E5B15C1"/>
    <w:p w14:paraId="6AD57518"/>
    <w:p w14:paraId="18B1B450"/>
    <w:p w14:paraId="5B13B3B1"/>
    <w:p w14:paraId="29DED2D2"/>
    <w:p w14:paraId="64F6F16E"/>
    <w:p w14:paraId="7243B7F8"/>
    <w:p w14:paraId="3C44FECF">
      <w:pPr>
        <w:ind w:firstLine="1470" w:firstLineChars="700"/>
      </w:pPr>
      <w:r>
        <w:rPr>
          <w:rFonts w:hint="eastAsia"/>
        </w:rPr>
        <w:t>备注：指标</w:t>
      </w:r>
      <w:r>
        <w:rPr>
          <w:rFonts w:hint="eastAsia"/>
          <w:lang w:eastAsia="zh-CN"/>
        </w:rPr>
        <w:t>报</w:t>
      </w:r>
      <w:r>
        <w:rPr>
          <w:rFonts w:hint="eastAsia"/>
        </w:rPr>
        <w:t>经人大常委会</w:t>
      </w:r>
      <w:r>
        <w:rPr>
          <w:rFonts w:hint="eastAsia"/>
          <w:lang w:eastAsia="zh-CN"/>
        </w:rPr>
        <w:t>批准</w:t>
      </w:r>
      <w:r>
        <w:rPr>
          <w:rFonts w:hint="eastAsia"/>
        </w:rPr>
        <w:t>调整</w:t>
      </w:r>
      <w:r>
        <w:rPr>
          <w:rFonts w:hint="eastAsia"/>
          <w:lang w:eastAsia="zh-CN"/>
        </w:rPr>
        <w:t>。</w:t>
      </w:r>
    </w:p>
    <w:p w14:paraId="41955B9E">
      <w:pPr>
        <w:tabs>
          <w:tab w:val="left" w:pos="1674"/>
        </w:tabs>
        <w:jc w:val="left"/>
        <w:rPr>
          <w:rFonts w:hint="eastAsia" w:eastAsia="等线"/>
          <w:lang w:eastAsia="zh-CN"/>
        </w:rPr>
        <w:sectPr>
          <w:footerReference r:id="rId6" w:type="default"/>
          <w:pgSz w:w="16838" w:h="11906" w:orient="landscape"/>
          <w:pgMar w:top="1800" w:right="1440" w:bottom="1800" w:left="1440" w:header="851" w:footer="992" w:gutter="0"/>
          <w:pgNumType w:fmt="decimal"/>
          <w:cols w:space="720" w:num="1"/>
          <w:docGrid w:type="lines" w:linePitch="312" w:charSpace="0"/>
        </w:sectPr>
      </w:pPr>
    </w:p>
    <w:p w14:paraId="5E6B16D3">
      <w:pPr>
        <w:pStyle w:val="4"/>
        <w:jc w:val="center"/>
        <w:rPr>
          <w:rFonts w:ascii="方正小标宋简体" w:hAnsi="方正小标宋简体" w:eastAsia="方正小标宋简体" w:cs="方正小标宋简体"/>
          <w:b w:val="0"/>
          <w:bCs w:val="0"/>
          <w:kern w:val="0"/>
        </w:rPr>
      </w:pPr>
      <w:bookmarkStart w:id="30" w:name="_Toc8988"/>
      <w:bookmarkStart w:id="31" w:name="_Toc24478"/>
      <w:bookmarkStart w:id="32" w:name="_Toc8058"/>
      <w:bookmarkStart w:id="33" w:name="_Toc16785"/>
      <w:bookmarkStart w:id="34" w:name="_Toc13062"/>
      <w:bookmarkStart w:id="35" w:name="_Toc27044"/>
      <w:bookmarkStart w:id="36" w:name="_Toc21383"/>
      <w:bookmarkStart w:id="37" w:name="_Toc28427"/>
      <w:bookmarkStart w:id="38" w:name="_Toc58580276"/>
      <w:bookmarkStart w:id="39" w:name="_Toc61193778"/>
      <w:bookmarkStart w:id="40" w:name="_Toc17030"/>
      <w:bookmarkStart w:id="41" w:name="_Toc18054"/>
      <w:bookmarkStart w:id="42" w:name="_Toc8615"/>
      <w:bookmarkStart w:id="43" w:name="_Toc19003"/>
      <w:bookmarkStart w:id="44" w:name="_Toc30251"/>
      <w:bookmarkStart w:id="45" w:name="_Toc25514"/>
      <w:bookmarkStart w:id="46" w:name="_Toc24972"/>
      <w:r>
        <w:rPr>
          <w:rFonts w:hint="eastAsia" w:ascii="方正小标宋简体" w:hAnsi="方正小标宋简体" w:eastAsia="方正小标宋简体" w:cs="方正小标宋简体"/>
          <w:b w:val="0"/>
          <w:bCs w:val="0"/>
        </w:rPr>
        <w:t>第二节</w:t>
      </w:r>
      <w:r>
        <w:rPr>
          <w:rFonts w:ascii="方正小标宋简体" w:hAnsi="方正小标宋简体" w:eastAsia="方正小标宋简体" w:cs="方正小标宋简体"/>
          <w:b w:val="0"/>
          <w:bCs w:val="0"/>
        </w:rPr>
        <w:t xml:space="preserve">  </w:t>
      </w:r>
      <w:r>
        <w:rPr>
          <w:rFonts w:hint="eastAsia" w:ascii="方正小标宋简体" w:hAnsi="方正小标宋简体" w:eastAsia="方正小标宋简体" w:cs="方正小标宋简体"/>
          <w:b w:val="0"/>
          <w:bCs w:val="0"/>
        </w:rPr>
        <w:t>发展环境</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14F616">
      <w:pPr>
        <w:tabs>
          <w:tab w:val="left" w:pos="312"/>
        </w:tabs>
        <w:adjustRightIn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五”时期，息烽县发展环境更加错综复杂。放眼国内外，和平与发展仍然是时代主题，我国制度优势显著，治理效能提升，发展长期向好的基本面没有改变，为我县保持经济社会平稳健康发展提供了最重要、最有利的外部环境和条件。以国内大循环为主体、国内国际双循环相互促进的新发展格局加快形成。</w:t>
      </w:r>
      <w:r>
        <w:rPr>
          <w:rFonts w:hint="eastAsia" w:ascii="Times New Roman" w:hAnsi="Times New Roman" w:eastAsia="仿宋_GB2312" w:cs="Times New Roman"/>
          <w:sz w:val="32"/>
          <w:szCs w:val="32"/>
          <w:lang w:eastAsia="zh-CN"/>
        </w:rPr>
        <w:t>息烽</w:t>
      </w:r>
      <w:r>
        <w:rPr>
          <w:rFonts w:hint="eastAsia" w:ascii="Times New Roman" w:hAnsi="Times New Roman" w:eastAsia="仿宋_GB2312" w:cs="Times New Roman"/>
          <w:sz w:val="32"/>
          <w:szCs w:val="32"/>
        </w:rPr>
        <w:t>处于贵州省几何中心、交通运输便捷的优势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为推进高质量跨越式发展提供了新机遇。</w:t>
      </w:r>
    </w:p>
    <w:p w14:paraId="14931E27">
      <w:pPr>
        <w:tabs>
          <w:tab w:val="left" w:pos="312"/>
        </w:tabs>
        <w:adjustRightIn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放眼全省全市，省委以高质量发展统揽全局，牢牢守好发展和生态两条底线，深入实施乡村振兴、大数据、大生态三大战略行动，大力推动新型工业化、新型城镇化、农业现代化、旅游产业化，为我县经济社会发展提出了新的要求；市委以实施“强省会”五年行动为主线，努力提升省会城市首位度，推动经济体量大能级城市、创新型中心城市、内陆开放型城市、生态文明城市、共建共治共享城市建设迈上新台阶，赋予了</w:t>
      </w:r>
      <w:r>
        <w:rPr>
          <w:rFonts w:hint="eastAsia" w:ascii="Times New Roman" w:hAnsi="Times New Roman" w:eastAsia="仿宋_GB2312" w:cs="Times New Roman"/>
          <w:sz w:val="32"/>
          <w:szCs w:val="32"/>
          <w:lang w:eastAsia="zh-CN"/>
        </w:rPr>
        <w:t>息烽</w:t>
      </w:r>
      <w:r>
        <w:rPr>
          <w:rFonts w:hint="eastAsia" w:ascii="Times New Roman" w:hAnsi="Times New Roman" w:eastAsia="仿宋_GB2312" w:cs="Times New Roman"/>
          <w:sz w:val="32"/>
          <w:szCs w:val="32"/>
        </w:rPr>
        <w:t>加快发展的新使命。</w:t>
      </w:r>
    </w:p>
    <w:p w14:paraId="191611B1">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放眼全县，息烽作为贵州省“连接南北”“贯穿东西”的重要交通枢纽，借力贵阳贵安融合发展机遇，参与黔中经济发展、融入“黔渝经济圈”，北上无缝接入黔渝新欧国际大通道、融入“丝绸之路经济带”的重要载体，作为贵阳市北部区位交通便捷、农业基础扎实、生态环境优良和温泉资源、红色资源富集、社会和谐稳定的县域，发展的潜力更大、底气更足、信心更强。只要把发展机遇把握好、现有条件利</w:t>
      </w:r>
      <w:r>
        <w:rPr>
          <w:rFonts w:hint="eastAsia" w:ascii="Times New Roman" w:hAnsi="Times New Roman" w:eastAsia="仿宋_GB2312" w:cs="Times New Roman"/>
          <w:sz w:val="32"/>
          <w:szCs w:val="32"/>
        </w:rPr>
        <w:t>用好、比较优势发挥好，补短板强弱项，就一定能够把体量小的劣势转化为跑得快的优势，就一定能够在国家大格局、省级大统筹、市级大战略中享受到更多发展红利，走出一条发挥息烽优势、彰显息烽特色、体现息烽质量的赶超突围之路。</w:t>
      </w:r>
    </w:p>
    <w:p w14:paraId="4D07A516">
      <w:pPr>
        <w:adjustRightInd/>
        <w:spacing w:line="56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同时，息烽经济结构性体制性周期性问题依然存在，受到外部风险挑战的威胁更为直接，产业链、供应链存在明显薄弱环节，城乡区域、精神文明和物质文明发展不平衡，</w:t>
      </w:r>
      <w:r>
        <w:rPr>
          <w:rFonts w:hint="eastAsia" w:ascii="仿宋_GB2312" w:eastAsia="仿宋_GB2312" w:cs="仿宋_GB2312"/>
          <w:sz w:val="32"/>
          <w:szCs w:val="32"/>
        </w:rPr>
        <w:t>发展还面临着诸多困难和挑战。</w:t>
      </w:r>
      <w:r>
        <w:rPr>
          <w:rFonts w:hint="eastAsia" w:ascii="仿宋_GB2312" w:eastAsia="仿宋_GB2312" w:cs="仿宋_GB2312"/>
          <w:b/>
          <w:color w:val="000000"/>
          <w:sz w:val="32"/>
          <w:szCs w:val="32"/>
          <w:lang w:bidi="ar-SA"/>
        </w:rPr>
        <w:t>一是经济总量较小。</w:t>
      </w:r>
      <w:r>
        <w:rPr>
          <w:rFonts w:hint="eastAsia" w:ascii="仿宋_GB2312" w:eastAsia="仿宋_GB2312" w:cs="仿宋_GB2312"/>
          <w:color w:val="000000"/>
          <w:sz w:val="32"/>
          <w:szCs w:val="32"/>
          <w:lang w:bidi="ar-SA"/>
        </w:rPr>
        <w:t>我县地</w:t>
      </w:r>
      <w:r>
        <w:rPr>
          <w:rFonts w:hint="eastAsia" w:ascii="仿宋_GB2312" w:eastAsia="仿宋_GB2312" w:cs="仿宋_GB2312"/>
          <w:color w:val="000000"/>
          <w:sz w:val="32"/>
          <w:szCs w:val="32"/>
          <w:lang w:eastAsia="zh-CN" w:bidi="ar-SA"/>
        </w:rPr>
        <w:t>方</w:t>
      </w:r>
      <w:r>
        <w:rPr>
          <w:rFonts w:hint="eastAsia" w:ascii="仿宋_GB2312" w:eastAsia="仿宋_GB2312" w:cs="仿宋_GB2312"/>
          <w:color w:val="000000"/>
          <w:sz w:val="32"/>
          <w:szCs w:val="32"/>
          <w:lang w:bidi="ar-SA"/>
        </w:rPr>
        <w:t>生产总值完成15</w:t>
      </w:r>
      <w:r>
        <w:rPr>
          <w:rFonts w:hint="eastAsia" w:ascii="仿宋_GB2312" w:eastAsia="仿宋_GB2312" w:cs="仿宋_GB2312"/>
          <w:color w:val="000000"/>
          <w:sz w:val="32"/>
          <w:szCs w:val="32"/>
          <w:lang w:val="en-US" w:eastAsia="zh-CN" w:bidi="ar-SA"/>
        </w:rPr>
        <w:t>2.8</w:t>
      </w:r>
      <w:r>
        <w:rPr>
          <w:rFonts w:hint="eastAsia" w:ascii="仿宋_GB2312" w:eastAsia="仿宋_GB2312" w:cs="仿宋_GB2312"/>
          <w:color w:val="000000"/>
          <w:sz w:val="32"/>
          <w:szCs w:val="32"/>
          <w:lang w:bidi="ar-SA"/>
        </w:rPr>
        <w:t>亿</w:t>
      </w:r>
      <w:r>
        <w:rPr>
          <w:rFonts w:hint="eastAsia" w:ascii="仿宋_GB2312" w:eastAsia="仿宋_GB2312" w:cs="仿宋_GB2312"/>
          <w:color w:val="000000"/>
          <w:sz w:val="32"/>
          <w:szCs w:val="32"/>
          <w:lang w:eastAsia="zh-CN" w:bidi="ar-SA"/>
        </w:rPr>
        <w:t>元</w:t>
      </w:r>
      <w:r>
        <w:rPr>
          <w:rFonts w:hint="eastAsia" w:ascii="仿宋_GB2312" w:eastAsia="仿宋_GB2312" w:cs="仿宋_GB2312"/>
          <w:color w:val="000000"/>
          <w:sz w:val="32"/>
          <w:szCs w:val="32"/>
          <w:lang w:bidi="ar-SA"/>
        </w:rPr>
        <w:t>，仅占全市</w:t>
      </w:r>
      <w:r>
        <w:rPr>
          <w:rFonts w:hint="eastAsia" w:ascii="仿宋_GB2312" w:eastAsia="仿宋_GB2312" w:cs="仿宋_GB2312"/>
          <w:color w:val="000000"/>
          <w:sz w:val="32"/>
          <w:szCs w:val="32"/>
          <w:lang w:eastAsia="zh-CN" w:bidi="ar-SA"/>
        </w:rPr>
        <w:t>的</w:t>
      </w:r>
      <w:r>
        <w:rPr>
          <w:rFonts w:hint="eastAsia" w:ascii="仿宋_GB2312" w:eastAsia="仿宋_GB2312" w:cs="仿宋_GB2312"/>
          <w:color w:val="000000"/>
          <w:sz w:val="32"/>
          <w:szCs w:val="32"/>
          <w:lang w:bidi="ar-SA"/>
        </w:rPr>
        <w:t>3.</w:t>
      </w:r>
      <w:r>
        <w:rPr>
          <w:rFonts w:hint="eastAsia" w:ascii="仿宋_GB2312" w:eastAsia="仿宋_GB2312" w:cs="仿宋_GB2312"/>
          <w:color w:val="000000"/>
          <w:sz w:val="32"/>
          <w:szCs w:val="32"/>
          <w:lang w:val="en-US" w:eastAsia="zh-CN" w:bidi="ar-SA"/>
        </w:rPr>
        <w:t>54</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eastAsia="zh-CN" w:bidi="ar-SA"/>
        </w:rPr>
        <w:t>经济总量占比小，排</w:t>
      </w:r>
      <w:r>
        <w:rPr>
          <w:rFonts w:hint="eastAsia" w:ascii="仿宋_GB2312" w:eastAsia="仿宋_GB2312" w:cs="仿宋_GB2312"/>
          <w:color w:val="000000"/>
          <w:sz w:val="32"/>
          <w:szCs w:val="32"/>
          <w:lang w:bidi="ar-SA"/>
        </w:rPr>
        <w:t>全市第十,在全市占比不断下降。</w:t>
      </w:r>
      <w:r>
        <w:rPr>
          <w:rFonts w:hint="eastAsia" w:ascii="仿宋_GB2312" w:eastAsia="仿宋_GB2312" w:cs="仿宋_GB2312"/>
          <w:b/>
          <w:color w:val="000000"/>
          <w:sz w:val="32"/>
          <w:szCs w:val="32"/>
          <w:lang w:bidi="ar-SA"/>
        </w:rPr>
        <w:t>二是产业结构不优。</w:t>
      </w:r>
      <w:r>
        <w:rPr>
          <w:rFonts w:hint="eastAsia" w:ascii="仿宋_GB2312" w:eastAsia="仿宋_GB2312" w:cs="仿宋_GB2312"/>
          <w:color w:val="000000"/>
          <w:sz w:val="32"/>
          <w:szCs w:val="32"/>
          <w:lang w:bidi="ar-SA"/>
        </w:rPr>
        <w:t>在实体经济中资源依赖</w:t>
      </w:r>
      <w:r>
        <w:rPr>
          <w:rFonts w:hint="eastAsia" w:ascii="仿宋_GB2312" w:eastAsia="仿宋_GB2312" w:cs="仿宋_GB2312"/>
          <w:color w:val="000000"/>
          <w:sz w:val="32"/>
          <w:szCs w:val="32"/>
          <w:lang w:eastAsia="zh-CN" w:bidi="ar-SA"/>
        </w:rPr>
        <w:t>型</w:t>
      </w:r>
      <w:r>
        <w:rPr>
          <w:rFonts w:hint="eastAsia" w:ascii="仿宋_GB2312" w:eastAsia="仿宋_GB2312" w:cs="仿宋_GB2312"/>
          <w:color w:val="000000"/>
          <w:sz w:val="32"/>
          <w:szCs w:val="32"/>
          <w:lang w:bidi="ar-SA"/>
        </w:rPr>
        <w:t>、劳动力密集型的企业较多，特色食品、医药制造、消费品制造业等占比不高</w:t>
      </w:r>
      <w:r>
        <w:rPr>
          <w:rFonts w:hint="eastAsia" w:ascii="仿宋_GB2312" w:eastAsia="仿宋_GB2312" w:cs="仿宋_GB2312"/>
          <w:color w:val="000000"/>
          <w:sz w:val="32"/>
          <w:szCs w:val="32"/>
          <w:lang w:eastAsia="zh-CN" w:bidi="ar-SA"/>
        </w:rPr>
        <w:t>。</w:t>
      </w:r>
      <w:r>
        <w:rPr>
          <w:rFonts w:hint="eastAsia" w:ascii="仿宋_GB2312" w:eastAsia="仿宋_GB2312" w:cs="仿宋_GB2312"/>
          <w:b/>
          <w:color w:val="000000"/>
          <w:sz w:val="32"/>
          <w:szCs w:val="32"/>
          <w:lang w:bidi="ar-SA"/>
        </w:rPr>
        <w:t>三是</w:t>
      </w:r>
      <w:r>
        <w:rPr>
          <w:rFonts w:hint="eastAsia" w:ascii="仿宋_GB2312" w:eastAsia="仿宋_GB2312" w:cs="仿宋_GB2312"/>
          <w:b/>
          <w:bCs/>
          <w:sz w:val="32"/>
          <w:szCs w:val="32"/>
        </w:rPr>
        <w:t>基础建设</w:t>
      </w:r>
      <w:r>
        <w:rPr>
          <w:rFonts w:hint="eastAsia" w:ascii="仿宋_GB2312" w:eastAsia="仿宋_GB2312" w:cs="仿宋_GB2312"/>
          <w:b/>
          <w:bCs/>
          <w:sz w:val="32"/>
          <w:szCs w:val="32"/>
          <w:lang w:eastAsia="zh-CN"/>
        </w:rPr>
        <w:t>不</w:t>
      </w:r>
      <w:r>
        <w:rPr>
          <w:rFonts w:hint="eastAsia" w:ascii="仿宋_GB2312" w:eastAsia="仿宋_GB2312" w:cs="仿宋_GB2312"/>
          <w:b/>
          <w:bCs/>
          <w:sz w:val="32"/>
          <w:szCs w:val="32"/>
        </w:rPr>
        <w:t>强。</w:t>
      </w:r>
      <w:r>
        <w:rPr>
          <w:rFonts w:hint="eastAsia" w:ascii="仿宋_GB2312" w:eastAsia="仿宋_GB2312" w:cs="仿宋_GB2312"/>
          <w:sz w:val="32"/>
          <w:szCs w:val="32"/>
        </w:rPr>
        <w:t>息烽基础设施建设仍然存在短板和薄弱环节，</w:t>
      </w:r>
      <w:r>
        <w:rPr>
          <w:rFonts w:hint="eastAsia" w:ascii="仿宋_GB2312" w:eastAsia="仿宋_GB2312" w:cs="仿宋_GB2312"/>
          <w:sz w:val="32"/>
          <w:szCs w:val="32"/>
          <w:lang w:val="en-US" w:eastAsia="zh-CN"/>
        </w:rPr>
        <w:t>周边城市</w:t>
      </w:r>
      <w:r>
        <w:rPr>
          <w:rFonts w:hint="eastAsia" w:ascii="仿宋_GB2312" w:eastAsia="仿宋_GB2312" w:cs="仿宋_GB2312"/>
          <w:sz w:val="32"/>
          <w:szCs w:val="32"/>
        </w:rPr>
        <w:t>的</w:t>
      </w:r>
      <w:r>
        <w:rPr>
          <w:rFonts w:hint="eastAsia" w:ascii="仿宋_GB2312" w:eastAsia="仿宋_GB2312" w:cs="仿宋_GB2312"/>
          <w:sz w:val="32"/>
          <w:szCs w:val="32"/>
          <w:lang w:val="en-US" w:eastAsia="zh-CN"/>
        </w:rPr>
        <w:t>快速</w:t>
      </w:r>
      <w:r>
        <w:rPr>
          <w:rFonts w:hint="eastAsia" w:ascii="仿宋_GB2312" w:eastAsia="仿宋_GB2312" w:cs="仿宋_GB2312"/>
          <w:sz w:val="32"/>
          <w:szCs w:val="32"/>
        </w:rPr>
        <w:t>发展也让息烽面临“虹吸效应”，导致部分资源要素、产业要素流失</w:t>
      </w:r>
      <w:r>
        <w:rPr>
          <w:rFonts w:hint="eastAsia" w:ascii="仿宋_GB2312" w:eastAsia="仿宋_GB2312" w:cs="仿宋_GB2312"/>
          <w:sz w:val="32"/>
          <w:szCs w:val="32"/>
          <w:lang w:eastAsia="zh-CN"/>
        </w:rPr>
        <w:t>，</w:t>
      </w:r>
      <w:r>
        <w:rPr>
          <w:rFonts w:hint="eastAsia" w:ascii="仿宋_GB2312" w:eastAsia="仿宋_GB2312" w:cs="仿宋_GB2312"/>
          <w:sz w:val="32"/>
          <w:szCs w:val="32"/>
        </w:rPr>
        <w:t>制约城乡统筹和经济社会发展。</w:t>
      </w:r>
      <w:r>
        <w:rPr>
          <w:rFonts w:hint="eastAsia" w:ascii="仿宋_GB2312" w:eastAsia="仿宋_GB2312" w:cs="仿宋_GB2312"/>
          <w:b/>
          <w:color w:val="000000"/>
          <w:sz w:val="32"/>
          <w:szCs w:val="32"/>
          <w:lang w:bidi="ar-SA"/>
        </w:rPr>
        <w:t>四是收支矛盾突出。</w:t>
      </w:r>
      <w:r>
        <w:rPr>
          <w:rFonts w:hint="eastAsia" w:ascii="仿宋_GB2312" w:eastAsia="仿宋_GB2312" w:cs="仿宋_GB2312"/>
          <w:color w:val="000000"/>
          <w:sz w:val="32"/>
          <w:szCs w:val="32"/>
          <w:lang w:bidi="ar-SA"/>
        </w:rPr>
        <w:t>由于传统优势产业不断下滑，公共预算收入大幅度下降，“三保压力”</w:t>
      </w:r>
      <w:r>
        <w:rPr>
          <w:rFonts w:hint="eastAsia" w:ascii="仿宋_GB2312" w:eastAsia="仿宋_GB2312" w:cs="仿宋_GB2312"/>
          <w:color w:val="000000"/>
          <w:sz w:val="32"/>
          <w:szCs w:val="32"/>
          <w:lang w:eastAsia="zh-CN" w:bidi="ar-SA"/>
        </w:rPr>
        <w:t>压力</w:t>
      </w:r>
      <w:r>
        <w:rPr>
          <w:rFonts w:hint="eastAsia" w:ascii="仿宋_GB2312" w:eastAsia="仿宋_GB2312" w:cs="仿宋_GB2312"/>
          <w:color w:val="000000"/>
          <w:sz w:val="32"/>
          <w:szCs w:val="32"/>
          <w:lang w:bidi="ar-SA"/>
        </w:rPr>
        <w:t>巨大，发展投入不足。</w:t>
      </w:r>
      <w:r>
        <w:rPr>
          <w:rFonts w:hint="eastAsia" w:ascii="仿宋_GB2312" w:eastAsia="仿宋_GB2312" w:cs="仿宋_GB2312"/>
          <w:b/>
          <w:bCs/>
          <w:sz w:val="32"/>
          <w:szCs w:val="32"/>
          <w:lang w:eastAsia="zh-CN"/>
        </w:rPr>
        <w:t>五</w:t>
      </w:r>
      <w:r>
        <w:rPr>
          <w:rFonts w:hint="eastAsia" w:ascii="仿宋_GB2312" w:eastAsia="仿宋_GB2312" w:cs="仿宋_GB2312"/>
          <w:b/>
          <w:bCs/>
          <w:sz w:val="32"/>
          <w:szCs w:val="32"/>
        </w:rPr>
        <w:t>是</w:t>
      </w:r>
      <w:r>
        <w:rPr>
          <w:rFonts w:hint="eastAsia" w:ascii="仿宋_GB2312" w:eastAsia="仿宋_GB2312" w:cs="仿宋_GB2312"/>
          <w:b/>
          <w:bCs/>
          <w:sz w:val="32"/>
          <w:szCs w:val="32"/>
          <w:lang w:val="en-US" w:eastAsia="zh-CN"/>
        </w:rPr>
        <w:t>创新能力不强</w:t>
      </w:r>
      <w:r>
        <w:rPr>
          <w:rFonts w:hint="eastAsia" w:ascii="仿宋_GB2312" w:eastAsia="仿宋_GB2312" w:cs="仿宋_GB2312"/>
          <w:b/>
          <w:bCs/>
          <w:sz w:val="32"/>
          <w:szCs w:val="32"/>
        </w:rPr>
        <w:t>。</w:t>
      </w:r>
      <w:r>
        <w:rPr>
          <w:rFonts w:hint="eastAsia" w:ascii="仿宋_GB2312" w:eastAsia="仿宋_GB2312" w:cs="仿宋_GB2312"/>
          <w:sz w:val="32"/>
          <w:szCs w:val="32"/>
        </w:rPr>
        <w:t>息烽经济发展</w:t>
      </w:r>
      <w:r>
        <w:rPr>
          <w:rFonts w:hint="eastAsia" w:ascii="仿宋_GB2312" w:eastAsia="仿宋_GB2312" w:cs="仿宋_GB2312"/>
          <w:sz w:val="32"/>
          <w:szCs w:val="32"/>
          <w:lang w:eastAsia="zh-CN"/>
        </w:rPr>
        <w:t>仍</w:t>
      </w:r>
      <w:r>
        <w:rPr>
          <w:rFonts w:hint="eastAsia" w:ascii="仿宋_GB2312" w:eastAsia="仿宋_GB2312" w:cs="仿宋_GB2312"/>
          <w:sz w:val="32"/>
          <w:szCs w:val="32"/>
        </w:rPr>
        <w:t>处于新旧动能转换“空窗期”、高质量发展“阵痛期”，经济增速放缓。食品级、医药级、电子级磷化工中高端产品创新不足，医药制造、新型建材等新兴产业贡献度提升仍需时间。技术人才缺失、创新能力偏弱。</w:t>
      </w:r>
      <w:r>
        <w:rPr>
          <w:rFonts w:hint="eastAsia" w:ascii="仿宋_GB2312" w:eastAsia="仿宋_GB2312" w:cs="仿宋_GB2312"/>
          <w:b/>
          <w:color w:val="000000"/>
          <w:sz w:val="32"/>
          <w:szCs w:val="32"/>
          <w:lang w:eastAsia="zh-CN" w:bidi="ar-SA"/>
        </w:rPr>
        <w:t>六</w:t>
      </w:r>
      <w:r>
        <w:rPr>
          <w:rFonts w:hint="eastAsia" w:ascii="仿宋_GB2312" w:eastAsia="仿宋_GB2312" w:cs="仿宋_GB2312"/>
          <w:b/>
          <w:color w:val="000000"/>
          <w:sz w:val="32"/>
          <w:szCs w:val="32"/>
          <w:lang w:bidi="ar-SA"/>
        </w:rPr>
        <w:t>是工作标准不高。</w:t>
      </w:r>
      <w:r>
        <w:rPr>
          <w:rFonts w:hint="eastAsia" w:ascii="仿宋_GB2312" w:eastAsia="仿宋_GB2312" w:cs="仿宋_GB2312"/>
          <w:bCs/>
          <w:color w:val="000000"/>
          <w:sz w:val="32"/>
          <w:szCs w:val="32"/>
          <w:u w:val="none" w:color="auto"/>
          <w:lang w:eastAsia="zh-CN" w:bidi="ar-SA"/>
        </w:rPr>
        <w:t>有的干部本领尚有差距，眼界和视野不宽，存在明显的经验盲区、能力弱项，容易陷入“少知而迷、不知而盲、无知而乱”的困境。</w:t>
      </w:r>
      <w:r>
        <w:rPr>
          <w:rFonts w:hint="eastAsia" w:ascii="仿宋_GB2312" w:eastAsia="仿宋_GB2312" w:cs="仿宋_GB2312"/>
          <w:bCs/>
          <w:color w:val="000000"/>
          <w:sz w:val="32"/>
          <w:szCs w:val="32"/>
          <w:u w:val="none" w:color="auto"/>
          <w:lang w:bidi="ar-SA"/>
        </w:rPr>
        <w:t>有</w:t>
      </w:r>
      <w:r>
        <w:rPr>
          <w:rFonts w:hint="eastAsia" w:ascii="仿宋_GB2312" w:eastAsia="仿宋_GB2312" w:cs="仿宋_GB2312"/>
          <w:color w:val="000000"/>
          <w:sz w:val="32"/>
          <w:szCs w:val="32"/>
          <w:lang w:bidi="ar-SA"/>
        </w:rPr>
        <w:t>的干部执行决策部署有偏差，“等、靠、要”观念仍然存在。有的干部作风不够过硬，不担当、不作为、慢作为等现象依然</w:t>
      </w:r>
      <w:r>
        <w:rPr>
          <w:rFonts w:hint="eastAsia" w:ascii="仿宋_GB2312" w:eastAsia="仿宋_GB2312" w:cs="仿宋_GB2312"/>
          <w:color w:val="000000"/>
          <w:sz w:val="32"/>
          <w:szCs w:val="32"/>
          <w:lang w:eastAsia="zh-CN" w:bidi="ar-SA"/>
        </w:rPr>
        <w:t>存在</w:t>
      </w:r>
      <w:r>
        <w:rPr>
          <w:rFonts w:hint="eastAsia" w:ascii="仿宋_GB2312" w:eastAsia="仿宋_GB2312" w:cs="仿宋_GB2312"/>
          <w:color w:val="000000"/>
          <w:sz w:val="32"/>
          <w:szCs w:val="32"/>
          <w:lang w:bidi="ar-SA"/>
        </w:rPr>
        <w:t>，“四风”问题</w:t>
      </w:r>
      <w:r>
        <w:rPr>
          <w:rFonts w:hint="eastAsia" w:ascii="仿宋_GB2312" w:eastAsia="仿宋_GB2312" w:cs="仿宋_GB2312"/>
          <w:color w:val="000000"/>
          <w:sz w:val="32"/>
          <w:szCs w:val="32"/>
          <w:lang w:eastAsia="zh-CN" w:bidi="ar-SA"/>
        </w:rPr>
        <w:t>整治</w:t>
      </w:r>
      <w:r>
        <w:rPr>
          <w:rFonts w:hint="eastAsia" w:ascii="仿宋_GB2312" w:eastAsia="仿宋_GB2312" w:cs="仿宋_GB2312"/>
          <w:color w:val="000000"/>
          <w:sz w:val="32"/>
          <w:szCs w:val="32"/>
          <w:lang w:bidi="ar-SA"/>
        </w:rPr>
        <w:t>还</w:t>
      </w:r>
      <w:r>
        <w:rPr>
          <w:rFonts w:hint="eastAsia" w:ascii="仿宋_GB2312" w:eastAsia="仿宋_GB2312" w:cs="仿宋_GB2312"/>
          <w:color w:val="000000"/>
          <w:sz w:val="32"/>
          <w:szCs w:val="32"/>
          <w:lang w:eastAsia="zh-CN" w:bidi="ar-SA"/>
        </w:rPr>
        <w:t>需持续发力</w:t>
      </w:r>
      <w:r>
        <w:rPr>
          <w:rFonts w:hint="eastAsia" w:ascii="仿宋_GB2312" w:eastAsia="仿宋_GB2312" w:cs="仿宋_GB2312"/>
          <w:color w:val="000000"/>
          <w:sz w:val="32"/>
          <w:szCs w:val="32"/>
          <w:lang w:bidi="ar-SA"/>
        </w:rPr>
        <w:t>。</w:t>
      </w:r>
      <w:r>
        <w:rPr>
          <w:rFonts w:hint="eastAsia" w:ascii="Times New Roman" w:hAnsi="Times New Roman" w:eastAsia="仿宋_GB2312" w:cs="Times New Roman"/>
          <w:sz w:val="32"/>
          <w:szCs w:val="32"/>
        </w:rPr>
        <w:t>要深刻认识社会主要矛盾变化带来的新特征新要求，敏锐把握我县经济社会发展面临的新机遇新形势，全面落实“强省会”五年行动的新任务新目标，增强机遇意识和风险意识，保持战略定力，发扬斗争精神，树立底线思维，准确识变、科学应变、主动求变，努力在危机中育先机、于变局中开新局，凝心聚力、赶超突围。</w:t>
      </w:r>
    </w:p>
    <w:p w14:paraId="705CAF59">
      <w:pPr>
        <w:pStyle w:val="2"/>
      </w:pPr>
    </w:p>
    <w:bookmarkEnd w:id="46"/>
    <w:p w14:paraId="5D8C3F29">
      <w:pPr>
        <w:widowControl/>
        <w:jc w:val="center"/>
        <w:outlineLvl w:val="1"/>
        <w:rPr>
          <w:rFonts w:hint="eastAsia" w:ascii="方正小标宋简体" w:hAnsi="方正小标宋简体" w:eastAsia="方正小标宋简体" w:cs="方正小标宋简体"/>
          <w:b w:val="0"/>
          <w:bCs w:val="0"/>
          <w:kern w:val="2"/>
          <w:sz w:val="32"/>
          <w:szCs w:val="32"/>
          <w:lang w:val="en-US" w:eastAsia="zh-CN" w:bidi="ar-SA"/>
        </w:rPr>
      </w:pPr>
      <w:bookmarkStart w:id="47" w:name="_Toc8687"/>
      <w:bookmarkStart w:id="48" w:name="_Toc61193779"/>
      <w:bookmarkStart w:id="49" w:name="_Toc23943"/>
      <w:bookmarkStart w:id="50" w:name="_Toc23863"/>
      <w:bookmarkStart w:id="51" w:name="_Toc24908"/>
      <w:bookmarkStart w:id="52" w:name="_Toc11237"/>
      <w:bookmarkStart w:id="53" w:name="_Toc9664"/>
      <w:bookmarkStart w:id="54" w:name="_Toc26989"/>
      <w:bookmarkStart w:id="55" w:name="_Toc24326"/>
      <w:bookmarkStart w:id="56" w:name="_Toc58580280"/>
      <w:bookmarkStart w:id="57" w:name="_Toc28621"/>
      <w:bookmarkStart w:id="58" w:name="_Toc9596"/>
      <w:bookmarkStart w:id="59" w:name="_Toc13139"/>
      <w:r>
        <w:rPr>
          <w:rFonts w:hint="eastAsia" w:ascii="方正小标宋简体" w:hAnsi="方正小标宋简体" w:eastAsia="方正小标宋简体" w:cs="方正小标宋简体"/>
          <w:b w:val="0"/>
          <w:bCs w:val="0"/>
          <w:kern w:val="2"/>
          <w:sz w:val="32"/>
          <w:szCs w:val="32"/>
          <w:lang w:val="en-US" w:eastAsia="zh-CN" w:bidi="ar-SA"/>
        </w:rPr>
        <w:t>第三节  展望二〇三五年远景目标</w:t>
      </w:r>
      <w:bookmarkEnd w:id="47"/>
      <w:bookmarkEnd w:id="48"/>
      <w:bookmarkEnd w:id="49"/>
      <w:bookmarkEnd w:id="50"/>
      <w:bookmarkEnd w:id="51"/>
      <w:bookmarkEnd w:id="52"/>
      <w:bookmarkEnd w:id="53"/>
    </w:p>
    <w:p w14:paraId="27C467D3">
      <w:pPr>
        <w:adjustRightIn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遵照党的十九大对实现第二个百年奋斗目标作出的分两个阶段推进的战略安排，到</w:t>
      </w:r>
      <w:r>
        <w:rPr>
          <w:rFonts w:hint="eastAsia" w:ascii="Times New Roman" w:hAnsi="Times New Roman" w:eastAsia="仿宋_GB2312" w:cs="Times New Roman"/>
          <w:color w:val="000000"/>
          <w:sz w:val="32"/>
          <w:szCs w:val="32"/>
        </w:rPr>
        <w:t>二〇三五年，息烽与全国、全省、全市一道基本实现社会主义现代化，建成</w:t>
      </w:r>
      <w:r>
        <w:rPr>
          <w:rFonts w:hint="eastAsia" w:ascii="Times New Roman" w:hAnsi="Times New Roman" w:eastAsia="仿宋_GB2312" w:cs="Times New Roman"/>
          <w:sz w:val="32"/>
          <w:szCs w:val="32"/>
        </w:rPr>
        <w:t>经济实力更强、质效更好，创新氛围更浓、动能更足，改革开放体系更全、格局更新，城乡颜值更高、气质更佳，人民生活更美、保障更优的现代化息烽。综合经济实力大幅跃升</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人均地方生产总值居全市中上水平；基本实现新型工业化、信息化、城镇化、农业现代化，建成现代化经济体系；市民素质和社会文明程度达到新高度，文化软实力显著增强；广泛形成绿色生产生活方式，生态文明建设达到更高水平；基本实现治理体系和治理能力现代化，人民平等参与、平等发展权利得到充分保障，基本建成法治政府、法治社会；基本公共服务、基础设施通达程度大幅提高；人的全面发展、人民共同富裕取得更为明显的实质性进展，对贵阳贵安经济体量大能级城市持续发展的支撑作用更加凸显。</w:t>
      </w:r>
      <w:r>
        <w:rPr>
          <w:rFonts w:hint="eastAsia" w:ascii="Times New Roman" w:hAnsi="Times New Roman" w:eastAsia="仿宋_GB2312" w:cs="Times New Roman"/>
          <w:sz w:val="32"/>
          <w:szCs w:val="32"/>
          <w:lang w:val="en-US" w:eastAsia="zh-CN"/>
        </w:rPr>
        <w:t>GDP</w:t>
      </w:r>
      <w:r>
        <w:rPr>
          <w:rFonts w:hint="eastAsia" w:ascii="仿宋_GB2312" w:hAnsi="仿宋_GB2312" w:eastAsia="仿宋_GB2312" w:cs="仿宋_GB2312"/>
          <w:sz w:val="32"/>
          <w:szCs w:val="32"/>
        </w:rPr>
        <w:t>突破500亿元大关</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全县常住人口突破</w:t>
      </w:r>
      <w:r>
        <w:rPr>
          <w:rFonts w:hint="eastAsia" w:ascii="Times New Roman" w:hAnsi="Times New Roman" w:eastAsia="仿宋_GB2312" w:cs="Times New Roman"/>
          <w:sz w:val="32"/>
          <w:szCs w:val="32"/>
          <w:lang w:val="en-US" w:eastAsia="zh-CN"/>
        </w:rPr>
        <w:t>40万人，城镇化率达70%以上。</w:t>
      </w:r>
    </w:p>
    <w:p w14:paraId="31B42F8E">
      <w:pPr>
        <w:pStyle w:val="10"/>
      </w:pPr>
    </w:p>
    <w:p w14:paraId="2FF7DBE4">
      <w:pPr>
        <w:widowControl/>
        <w:jc w:val="center"/>
        <w:outlineLvl w:val="1"/>
        <w:rPr>
          <w:rFonts w:ascii="方正小标宋简体" w:hAnsi="方正小标宋简体" w:eastAsia="方正小标宋简体" w:cs="方正小标宋简体"/>
          <w:b w:val="0"/>
          <w:bCs w:val="0"/>
          <w:sz w:val="32"/>
          <w:szCs w:val="32"/>
        </w:rPr>
      </w:pPr>
      <w:bookmarkStart w:id="60" w:name="_Toc1077"/>
      <w:bookmarkStart w:id="61" w:name="_Toc17907"/>
      <w:bookmarkStart w:id="62" w:name="_Toc17714"/>
      <w:bookmarkStart w:id="63" w:name="_Toc1843"/>
      <w:bookmarkStart w:id="64" w:name="_Toc6821"/>
      <w:bookmarkStart w:id="65" w:name="_Toc8629"/>
      <w:bookmarkStart w:id="66" w:name="_Toc61193780"/>
      <w:r>
        <w:rPr>
          <w:rFonts w:hint="eastAsia" w:ascii="方正小标宋简体" w:hAnsi="方正小标宋简体" w:eastAsia="方正小标宋简体" w:cs="方正小标宋简体"/>
          <w:b w:val="0"/>
          <w:bCs w:val="0"/>
          <w:sz w:val="32"/>
          <w:szCs w:val="32"/>
        </w:rPr>
        <w:t xml:space="preserve">第四节 </w:t>
      </w:r>
      <w:r>
        <w:rPr>
          <w:rFonts w:ascii="方正小标宋简体" w:hAnsi="方正小标宋简体" w:eastAsia="方正小标宋简体" w:cs="方正小标宋简体"/>
          <w:b w:val="0"/>
          <w:bCs w:val="0"/>
          <w:sz w:val="32"/>
          <w:szCs w:val="32"/>
        </w:rPr>
        <w:t xml:space="preserve"> </w:t>
      </w:r>
      <w:r>
        <w:rPr>
          <w:rFonts w:hint="eastAsia" w:ascii="方正小标宋简体" w:hAnsi="方正小标宋简体" w:eastAsia="方正小标宋简体" w:cs="方正小标宋简体"/>
          <w:b w:val="0"/>
          <w:bCs w:val="0"/>
          <w:sz w:val="32"/>
          <w:szCs w:val="32"/>
        </w:rPr>
        <w:t>“十四五”时期总体要求</w:t>
      </w:r>
      <w:bookmarkEnd w:id="54"/>
      <w:bookmarkEnd w:id="55"/>
      <w:bookmarkEnd w:id="56"/>
      <w:r>
        <w:rPr>
          <w:rFonts w:hint="eastAsia" w:ascii="方正小标宋简体" w:hAnsi="方正小标宋简体" w:eastAsia="方正小标宋简体" w:cs="方正小标宋简体"/>
          <w:b w:val="0"/>
          <w:bCs w:val="0"/>
          <w:sz w:val="32"/>
          <w:szCs w:val="32"/>
        </w:rPr>
        <w:t>和奋斗目标</w:t>
      </w:r>
      <w:bookmarkEnd w:id="57"/>
      <w:bookmarkEnd w:id="58"/>
      <w:bookmarkEnd w:id="59"/>
      <w:bookmarkEnd w:id="60"/>
      <w:bookmarkEnd w:id="61"/>
      <w:bookmarkEnd w:id="62"/>
      <w:bookmarkEnd w:id="63"/>
      <w:bookmarkEnd w:id="64"/>
      <w:bookmarkEnd w:id="65"/>
      <w:bookmarkEnd w:id="66"/>
    </w:p>
    <w:p w14:paraId="76D744B9">
      <w:pPr>
        <w:adjustRightInd w:val="0"/>
        <w:spacing w:line="520" w:lineRule="exact"/>
        <w:ind w:firstLine="643" w:firstLineChars="200"/>
        <w:rPr>
          <w:rFonts w:ascii="Times New Roman" w:hAnsi="Times New Roman" w:eastAsia="仿宋_GB2312" w:cs="Times New Roman"/>
          <w:sz w:val="32"/>
          <w:szCs w:val="32"/>
        </w:rPr>
      </w:pPr>
      <w:r>
        <w:rPr>
          <w:rFonts w:hint="eastAsia" w:ascii="黑体" w:hAnsi="黑体" w:eastAsia="黑体"/>
          <w:b/>
          <w:bCs/>
          <w:sz w:val="32"/>
          <w:szCs w:val="32"/>
        </w:rPr>
        <w:t>总体要求：</w:t>
      </w:r>
      <w:r>
        <w:rPr>
          <w:rFonts w:hint="eastAsia" w:ascii="Times New Roman" w:hAnsi="Times New Roman" w:eastAsia="仿宋_GB2312" w:cs="Times New Roman"/>
          <w:sz w:val="32"/>
          <w:szCs w:val="32"/>
        </w:rPr>
        <w:t>高举中国特色社会主义伟大旗帜，深入贯彻党的十九大和十九届二中、三中、四中、五中全会精神，坚持以习近平新时代中国特色社会主义思想为指导，全面贯彻党的基本理论、基本路线、基本方略，深入贯彻落实习近平总书记对贵州贵阳工作重要指示精神，牢记嘱托、感恩奋进，统筹推进“五位一体”总体布局，协调推进“四个全面”战略布局，准确把握新发展阶段，深入践行新发展理念，积极融入新发展格局，切实担当新发展使命，以推动高质量发展为主线，深入落实省委“一二三四”总体思路和市委实现“一个新提升”、迈上“五个新台阶”的目标任务，深入实施乡村振兴、大数据、大生态三大战略行动，大力推动新型工业化、新型城镇化、农业现代化、旅游产业化协同发展，</w:t>
      </w:r>
      <w:r>
        <w:rPr>
          <w:rFonts w:hint="eastAsia" w:ascii="Times New Roman" w:hAnsi="Times New Roman" w:eastAsia="仿宋_GB2312" w:cs="Times New Roman"/>
          <w:b/>
          <w:bCs/>
          <w:sz w:val="32"/>
          <w:szCs w:val="32"/>
        </w:rPr>
        <w:t>着力打造全方位开放发展新亮点，着力打造功能完善的“中高端制造业”核心配套区，着力打造多业态高水平乡村振兴样板，着力打造韧性强高品质城镇新高地，努力把息烽建设成为贵阳贵安经济体量大能级城市建设北部重要战略支点</w:t>
      </w:r>
      <w:r>
        <w:rPr>
          <w:rFonts w:hint="eastAsia" w:ascii="Times New Roman" w:hAnsi="Times New Roman" w:eastAsia="仿宋_GB2312" w:cs="Times New Roman"/>
          <w:sz w:val="32"/>
          <w:szCs w:val="32"/>
        </w:rPr>
        <w:t>，实现经济行稳致远、社会安定和谐，开启</w:t>
      </w:r>
      <w:r>
        <w:rPr>
          <w:rFonts w:hint="eastAsia" w:ascii="Times New Roman" w:hAnsi="Times New Roman" w:eastAsia="仿宋_GB2312" w:cs="Times New Roman"/>
          <w:sz w:val="32"/>
          <w:szCs w:val="32"/>
          <w:lang w:eastAsia="zh-CN"/>
        </w:rPr>
        <w:t>全面建设社会主义现代化国家新征程</w:t>
      </w:r>
      <w:r>
        <w:rPr>
          <w:rFonts w:hint="eastAsia" w:ascii="Times New Roman" w:hAnsi="Times New Roman" w:eastAsia="仿宋_GB2312" w:cs="Times New Roman"/>
          <w:sz w:val="32"/>
          <w:szCs w:val="32"/>
        </w:rPr>
        <w:t>，奋力谱写新时代息烽赶超突围新篇章。</w:t>
      </w:r>
    </w:p>
    <w:p w14:paraId="7BF3F956">
      <w:pPr>
        <w:keepNext/>
        <w:keepLines/>
        <w:rPr>
          <w:rFonts w:ascii="方正小标宋简体" w:hAnsi="方正小标宋简体" w:eastAsia="方正小标宋简体" w:cs="方正小标宋简体"/>
          <w:kern w:val="0"/>
        </w:rPr>
      </w:pPr>
      <w:bookmarkStart w:id="67" w:name="_Toc23918"/>
      <w:bookmarkStart w:id="68" w:name="_Toc15248"/>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必须遵循以下原则：</w:t>
      </w:r>
      <w:bookmarkEnd w:id="67"/>
      <w:bookmarkEnd w:id="68"/>
    </w:p>
    <w:p w14:paraId="116FAC77">
      <w:pPr>
        <w:pStyle w:val="9"/>
        <w:adjustRightInd w:val="0"/>
        <w:spacing w:line="520" w:lineRule="exact"/>
        <w:ind w:firstLine="643" w:firstLineChars="200"/>
        <w:rPr>
          <w:rFonts w:ascii="Times New Roman" w:hAnsi="Times New Roman" w:eastAsia="仿宋_GB2312" w:cs="Times New Roman"/>
          <w:sz w:val="32"/>
          <w:szCs w:val="32"/>
        </w:rPr>
      </w:pPr>
      <w:bookmarkStart w:id="69" w:name="_Toc22548"/>
      <w:r>
        <w:rPr>
          <w:rFonts w:hint="eastAsia" w:ascii="Times New Roman" w:hAnsi="Times New Roman" w:eastAsia="仿宋_GB2312" w:cs="Times New Roman"/>
          <w:b/>
          <w:bCs/>
          <w:sz w:val="32"/>
          <w:szCs w:val="32"/>
        </w:rPr>
        <w:t>——坚持党的全面领导。</w:t>
      </w:r>
      <w:r>
        <w:rPr>
          <w:rFonts w:hint="eastAsia" w:ascii="Times New Roman" w:hAnsi="Times New Roman" w:eastAsia="仿宋_GB2312" w:cs="Times New Roman"/>
          <w:sz w:val="32"/>
          <w:szCs w:val="32"/>
        </w:rPr>
        <w:t>坚持和完善党领导经济社会发展的体制机制，发挥党委（党组）领导作用，全面提高贯彻新发展理念、推动高质量发展的能力和水平，为新时代赶超突围发展提供坚强保证。</w:t>
      </w:r>
    </w:p>
    <w:p w14:paraId="61A24E84">
      <w:pPr>
        <w:adjustRightIn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——坚持以人民为中心。</w:t>
      </w:r>
      <w:r>
        <w:rPr>
          <w:rFonts w:hint="eastAsia" w:ascii="Times New Roman" w:hAnsi="Times New Roman" w:eastAsia="仿宋_GB2312" w:cs="Times New Roman"/>
          <w:sz w:val="32"/>
          <w:szCs w:val="32"/>
        </w:rPr>
        <w:t>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14:paraId="0B17C86A">
      <w:pPr>
        <w:pStyle w:val="9"/>
        <w:adjustRightIn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——坚持新发展理念。</w:t>
      </w:r>
      <w:r>
        <w:rPr>
          <w:rFonts w:hint="eastAsia" w:ascii="Times New Roman" w:hAnsi="Times New Roman" w:eastAsia="仿宋_GB2312" w:cs="Times New Roman"/>
          <w:sz w:val="32"/>
          <w:szCs w:val="32"/>
        </w:rPr>
        <w:t>把新发展理念贯穿发展全过程和各领域，切实转变发展方式，推动质量变革、效率变革、动力变革，强化“出数据、出经验、出成绩”导向，实现更高质量、更有效率、更加公平、更可持续、更为安全的发展。</w:t>
      </w:r>
    </w:p>
    <w:p w14:paraId="28D31E9E">
      <w:pPr>
        <w:pStyle w:val="15"/>
        <w:widowControl/>
        <w:adjustRightInd w:val="0"/>
        <w:spacing w:after="0" w:afterLines="0" w:line="520" w:lineRule="exact"/>
        <w:ind w:firstLine="643" w:firstLineChars="200"/>
        <w:jc w:val="both"/>
        <w:rPr>
          <w:rFonts w:ascii="Times New Roman" w:hAnsi="Times New Roman" w:eastAsia="仿宋_GB2312"/>
          <w:kern w:val="2"/>
          <w:sz w:val="32"/>
          <w:szCs w:val="32"/>
        </w:rPr>
      </w:pPr>
      <w:r>
        <w:rPr>
          <w:rFonts w:hint="eastAsia" w:ascii="Times New Roman" w:hAnsi="Times New Roman" w:eastAsia="仿宋_GB2312"/>
          <w:b/>
          <w:bCs/>
          <w:sz w:val="32"/>
          <w:szCs w:val="32"/>
        </w:rPr>
        <w:t>——</w:t>
      </w:r>
      <w:r>
        <w:rPr>
          <w:rFonts w:hint="eastAsia" w:ascii="Times New Roman" w:hAnsi="Times New Roman" w:eastAsia="仿宋_GB2312"/>
          <w:b/>
          <w:bCs/>
          <w:kern w:val="2"/>
          <w:sz w:val="32"/>
          <w:szCs w:val="32"/>
        </w:rPr>
        <w:t>坚持深化改革开放。</w:t>
      </w:r>
      <w:r>
        <w:rPr>
          <w:rFonts w:hint="eastAsia" w:ascii="Times New Roman" w:hAnsi="Times New Roman" w:eastAsia="仿宋_GB2312"/>
          <w:kern w:val="2"/>
          <w:sz w:val="32"/>
          <w:szCs w:val="32"/>
        </w:rPr>
        <w:t>秉持“息烽之外即为外”理念，坚定不移吃改革饭、走开放路，统筹重要领域和关键环节改革，加强系统集成，加快高水平对外开放，</w:t>
      </w:r>
      <w:r>
        <w:rPr>
          <w:rFonts w:hint="eastAsia" w:ascii="Times New Roman" w:hAnsi="Times New Roman" w:eastAsia="仿宋_GB2312"/>
          <w:spacing w:val="12"/>
          <w:sz w:val="32"/>
          <w:szCs w:val="32"/>
          <w:shd w:val="clear" w:color="auto" w:fill="FFFFFF"/>
        </w:rPr>
        <w:t>破除制约高质量发展、高品质生活、高效能治理的体制机制障碍，持续增强发展动力和活力。</w:t>
      </w:r>
    </w:p>
    <w:p w14:paraId="5482C60D">
      <w:pPr>
        <w:pStyle w:val="10"/>
        <w:adjustRightInd w:val="0"/>
        <w:spacing w:line="520" w:lineRule="exact"/>
        <w:ind w:firstLine="643" w:firstLineChars="200"/>
        <w:jc w:val="both"/>
        <w:rPr>
          <w:rFonts w:ascii="Times New Roman" w:hAnsi="Times New Roman" w:eastAsia="仿宋_GB2312" w:cs="Times New Roman"/>
          <w:sz w:val="32"/>
          <w:szCs w:val="22"/>
        </w:rPr>
      </w:pPr>
      <w:r>
        <w:rPr>
          <w:rFonts w:hint="eastAsia" w:ascii="Times New Roman" w:hAnsi="Times New Roman" w:eastAsia="仿宋_GB2312" w:cs="Times New Roman"/>
          <w:b/>
          <w:bCs/>
          <w:sz w:val="32"/>
          <w:szCs w:val="32"/>
        </w:rPr>
        <w:t>——坚持系统观念。</w:t>
      </w:r>
      <w:r>
        <w:rPr>
          <w:rFonts w:ascii="Times New Roman" w:hAnsi="Times New Roman" w:eastAsia="仿宋_GB2312" w:cs="Times New Roman"/>
          <w:sz w:val="32"/>
          <w:szCs w:val="22"/>
        </w:rPr>
        <w:t>加强前瞻性思考、全局性谋划、战略性布局、整体性推进，办好发展安全两件大事，</w:t>
      </w:r>
      <w:r>
        <w:rPr>
          <w:rFonts w:hint="eastAsia" w:ascii="Times New Roman" w:hAnsi="Times New Roman" w:eastAsia="仿宋_GB2312" w:cs="Times New Roman"/>
          <w:sz w:val="32"/>
          <w:szCs w:val="32"/>
        </w:rPr>
        <w:t>坚</w:t>
      </w:r>
      <w:r>
        <w:rPr>
          <w:rFonts w:ascii="Times New Roman" w:hAnsi="Times New Roman" w:eastAsia="仿宋_GB2312" w:cs="Times New Roman"/>
          <w:sz w:val="32"/>
          <w:szCs w:val="22"/>
        </w:rPr>
        <w:t>持一张蓝图绘到底，更加注重从全局谋划一域、以一域服务全局，着力固根基、扬优势、补短板、强弱项，注重防范化解重大风险挑战，实现发展质量、结构、规模、速度、效益、安全相统一</w:t>
      </w:r>
      <w:r>
        <w:rPr>
          <w:rFonts w:hint="eastAsia" w:ascii="Times New Roman" w:hAnsi="Times New Roman" w:eastAsia="仿宋_GB2312" w:cs="Times New Roman"/>
          <w:sz w:val="32"/>
          <w:szCs w:val="22"/>
        </w:rPr>
        <w:t>。</w:t>
      </w:r>
    </w:p>
    <w:p w14:paraId="0C97F446">
      <w:pPr>
        <w:pStyle w:val="22"/>
        <w:spacing w:line="52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——坚持发挥比较优势。</w:t>
      </w:r>
      <w:r>
        <w:rPr>
          <w:rFonts w:hint="eastAsia" w:ascii="Times New Roman" w:hAnsi="Times New Roman" w:eastAsia="仿宋_GB2312" w:cs="Times New Roman"/>
          <w:sz w:val="32"/>
        </w:rPr>
        <w:t>坚持实事求是、扬长补短、讲究实效，强化辩证思维，立足资源禀赋和自身特色优势，实施品牌战略，注重把资源优势转化为发展优势，当好县域经济发展“特长生”，努力在</w:t>
      </w:r>
      <w:r>
        <w:rPr>
          <w:rFonts w:hint="eastAsia" w:ascii="Times New Roman" w:hAnsi="Times New Roman" w:eastAsia="仿宋_GB2312" w:cs="Times New Roman"/>
          <w:bCs/>
          <w:kern w:val="0"/>
          <w:sz w:val="32"/>
          <w:szCs w:val="32"/>
        </w:rPr>
        <w:t>“强省会”战略和贵阳贵安高质量</w:t>
      </w:r>
      <w:r>
        <w:rPr>
          <w:rFonts w:hint="eastAsia" w:ascii="Times New Roman" w:hAnsi="Times New Roman" w:eastAsia="仿宋_GB2312" w:cs="Times New Roman"/>
          <w:sz w:val="32"/>
        </w:rPr>
        <w:t>发展大局中贡献息烽力量。</w:t>
      </w:r>
    </w:p>
    <w:p w14:paraId="4174F787">
      <w:pPr>
        <w:adjustRightInd w:val="0"/>
        <w:spacing w:line="520" w:lineRule="exact"/>
        <w:ind w:firstLine="643" w:firstLineChars="200"/>
        <w:jc w:val="left"/>
        <w:rPr>
          <w:rFonts w:ascii="Times New Roman" w:hAnsi="Times New Roman" w:eastAsia="仿宋_GB2312" w:cs="Times New Roman"/>
          <w:sz w:val="32"/>
          <w:szCs w:val="32"/>
        </w:rPr>
      </w:pPr>
      <w:r>
        <w:rPr>
          <w:rFonts w:hint="eastAsia" w:ascii="黑体" w:hAnsi="黑体" w:eastAsia="黑体"/>
          <w:b/>
          <w:bCs/>
          <w:sz w:val="32"/>
          <w:szCs w:val="32"/>
        </w:rPr>
        <w:t>主要目标：</w:t>
      </w:r>
      <w:r>
        <w:rPr>
          <w:rFonts w:hint="eastAsia" w:ascii="Times New Roman" w:hAnsi="Times New Roman" w:eastAsia="仿宋_GB2312" w:cs="Times New Roman"/>
          <w:sz w:val="32"/>
          <w:szCs w:val="32"/>
        </w:rPr>
        <w:t>锚定二〇三五年远景目标，综合考虑中央、省、市部署和息烽发展条件，按照</w:t>
      </w:r>
      <w:r>
        <w:rPr>
          <w:rFonts w:hint="eastAsia" w:ascii="Times New Roman" w:hAnsi="Times New Roman" w:eastAsia="黑体" w:cs="Times New Roman"/>
          <w:color w:val="000000"/>
          <w:sz w:val="32"/>
          <w:szCs w:val="32"/>
        </w:rPr>
        <w:t>“四个着力打造”“一个努力建成”</w:t>
      </w:r>
      <w:r>
        <w:rPr>
          <w:rFonts w:hint="eastAsia" w:ascii="Times New Roman" w:hAnsi="Times New Roman" w:eastAsia="仿宋_GB2312" w:cs="Times New Roman"/>
          <w:sz w:val="32"/>
          <w:szCs w:val="32"/>
        </w:rPr>
        <w:t>工作路径，坚持守正和创新相统一，今后五年要努力实现以下主要目标。</w:t>
      </w:r>
    </w:p>
    <w:p w14:paraId="3915BF0C">
      <w:pPr>
        <w:adjustRightIn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——经济综合实力实现新突破。</w:t>
      </w:r>
      <w:r>
        <w:rPr>
          <w:rFonts w:hint="eastAsia" w:ascii="Times New Roman" w:hAnsi="Times New Roman" w:eastAsia="仿宋_GB2312" w:cs="Times New Roman"/>
          <w:sz w:val="32"/>
          <w:szCs w:val="32"/>
        </w:rPr>
        <w:t>经济在高质量发展轨道上稳健运行，增长潜力充分发挥，内需潜力充分释放，城乡区域发展协调性明显增强，新型工业化、新型城镇化、农业现代化、旅游产业化发展步伐明显加快，供与需、内与外、城乡区域发展更趋平衡更加协调。</w:t>
      </w:r>
      <w:r>
        <w:rPr>
          <w:rFonts w:hint="eastAsia" w:ascii="Times New Roman" w:hAnsi="Times New Roman" w:eastAsia="仿宋_GB2312" w:cs="Times New Roman"/>
          <w:sz w:val="32"/>
          <w:szCs w:val="32"/>
          <w:u w:val="none"/>
          <w:lang w:eastAsia="zh-CN"/>
        </w:rPr>
        <w:t>地</w:t>
      </w:r>
      <w:r>
        <w:rPr>
          <w:rFonts w:hint="eastAsia" w:ascii="Times New Roman" w:hAnsi="Times New Roman" w:eastAsia="仿宋_GB2312" w:cs="Times New Roman"/>
          <w:sz w:val="32"/>
          <w:szCs w:val="32"/>
          <w:u w:val="none"/>
          <w:lang w:val="en-US" w:eastAsia="zh-CN"/>
        </w:rPr>
        <w:t>方</w:t>
      </w:r>
      <w:r>
        <w:rPr>
          <w:rFonts w:hint="eastAsia" w:ascii="Times New Roman" w:hAnsi="Times New Roman" w:eastAsia="仿宋_GB2312" w:cs="Times New Roman"/>
          <w:sz w:val="32"/>
          <w:szCs w:val="32"/>
          <w:u w:val="none"/>
        </w:rPr>
        <w:t>生产总值每年增速高于全市1个百分点左右</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常住人口达28万人左右，县城建成区面积达12平方公里以上。</w:t>
      </w:r>
    </w:p>
    <w:p w14:paraId="692ED50D">
      <w:pPr>
        <w:widowControl/>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——发展质量效益实现新提升。</w:t>
      </w:r>
      <w:r>
        <w:rPr>
          <w:rFonts w:hint="eastAsia" w:ascii="Times New Roman" w:hAnsi="Times New Roman" w:eastAsia="仿宋_GB2312" w:cs="Times New Roman"/>
          <w:sz w:val="32"/>
          <w:szCs w:val="32"/>
        </w:rPr>
        <w:t>创新能力明显提高，产业链现代化水平大幅提升，田园综合体建设取得新成效，农业基础更加稳固，中高端制造业地位更加突出，新型工业的支撑作用明显增强，中高端服务业核心竞争力显著提升，中高端商贸业规模不断扩大，文化、康养、生态旅游服务等产业对经济支撑作用进一步凸显，产业深度融合，一二三产业结构更加优化。</w:t>
      </w:r>
    </w:p>
    <w:p w14:paraId="71B373E7">
      <w:pPr>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——区域城乡融合取得新进展。</w:t>
      </w:r>
      <w:r>
        <w:rPr>
          <w:rFonts w:hint="eastAsia" w:ascii="Times New Roman" w:hAnsi="Times New Roman" w:eastAsia="仿宋_GB2312" w:cs="Times New Roman"/>
          <w:sz w:val="32"/>
          <w:szCs w:val="32"/>
        </w:rPr>
        <w:t>以人为核心的新型城镇化提质推进，城乡路网进一步完善，交通运输体系更加完善，县域发展框架进一步拉开，南部城市扩展区建设取得实质性进展，中心城区集聚辐射力大幅增强，城乡统筹发展体制机制更加健全，息烽在县域发展中的优势得到进一步发挥。</w:t>
      </w:r>
    </w:p>
    <w:p w14:paraId="4110A89D">
      <w:pPr>
        <w:widowControl/>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——发展动力活力得到新增强。</w:t>
      </w:r>
      <w:r>
        <w:rPr>
          <w:rFonts w:hint="eastAsia" w:ascii="Times New Roman" w:hAnsi="Times New Roman" w:eastAsia="仿宋_GB2312" w:cs="Times New Roman"/>
          <w:sz w:val="32"/>
          <w:szCs w:val="32"/>
        </w:rPr>
        <w:t>重点领域和关键环节改革取得重大进展，区域营商环境达到全省一流水平，市场主体更加充满活力。息烽经开区能级大幅提升，四向拓展、全域开放的态势更加巩固，</w:t>
      </w:r>
      <w:r>
        <w:rPr>
          <w:rFonts w:hint="eastAsia" w:ascii="Times New Roman" w:hAnsi="Times New Roman" w:eastAsia="仿宋_GB2312" w:cs="Times New Roman"/>
          <w:spacing w:val="12"/>
          <w:kern w:val="0"/>
          <w:sz w:val="32"/>
          <w:szCs w:val="32"/>
          <w:shd w:val="clear" w:color="auto" w:fill="FFFFFF"/>
        </w:rPr>
        <w:t>开放型经济实现突破，跨区域合作深度拓展</w:t>
      </w:r>
      <w:r>
        <w:rPr>
          <w:rFonts w:hint="eastAsia" w:ascii="Times New Roman" w:hAnsi="Times New Roman" w:eastAsia="仿宋_GB2312" w:cs="Times New Roman"/>
          <w:sz w:val="32"/>
          <w:szCs w:val="32"/>
        </w:rPr>
        <w:t>。</w:t>
      </w:r>
    </w:p>
    <w:p w14:paraId="6BEB1AFC">
      <w:pPr>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——城市文明程度得到新提高。</w:t>
      </w:r>
      <w:r>
        <w:rPr>
          <w:rFonts w:hint="eastAsia" w:ascii="Times New Roman" w:hAnsi="Times New Roman" w:eastAsia="仿宋_GB2312" w:cs="Times New Roman"/>
          <w:sz w:val="32"/>
          <w:szCs w:val="32"/>
        </w:rPr>
        <w:t>社会主义核心价值观更加深入人心，市民思想道德素质、科学文化素质、身心健康素质明显提高，公共文化服务体系和文化产业体系更加健全，精神文化生活更加丰富，文化软实力显著增强。</w:t>
      </w:r>
    </w:p>
    <w:p w14:paraId="0B7DCFAD">
      <w:pPr>
        <w:adjustRightIn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——生态文明建设取得新成效。</w:t>
      </w:r>
      <w:r>
        <w:rPr>
          <w:rFonts w:hint="eastAsia" w:ascii="Times New Roman" w:hAnsi="Times New Roman" w:eastAsia="仿宋_GB2312" w:cs="Times New Roman"/>
          <w:sz w:val="32"/>
          <w:szCs w:val="32"/>
        </w:rPr>
        <w:t>环境治理效果显著增强，乌江流域（息烽水域）生态安全屏障进一步筑牢。能源资源配置更加合理、利用效率大幅提高，主要污染物排放总量持续减少。城乡生态环境状况持续改善，美丽城镇、美丽乡村、美丽田园等串珠成线，各项生态环境建设指标居全市前列，碧水蓝天的生态空间加快构筑。绿色低碳生产生活方式基本形成，城乡人居环境明显改善。</w:t>
      </w:r>
    </w:p>
    <w:p w14:paraId="3F3D6461">
      <w:pPr>
        <w:widowControl/>
        <w:shd w:val="clear" w:color="auto" w:fill="FFFFFF"/>
        <w:spacing w:line="520" w:lineRule="exact"/>
        <w:ind w:firstLine="420"/>
        <w:rPr>
          <w:rFonts w:hint="eastAsia" w:ascii="Times New Roman" w:hAnsi="Times New Roman" w:eastAsia="仿宋_GB2312" w:cs="Times New Roman"/>
          <w:spacing w:val="12"/>
          <w:kern w:val="0"/>
          <w:sz w:val="32"/>
          <w:szCs w:val="32"/>
          <w:shd w:val="clear" w:color="auto" w:fill="FFFFFF"/>
        </w:rPr>
      </w:pPr>
      <w:r>
        <w:rPr>
          <w:rFonts w:hint="eastAsia" w:ascii="Times New Roman" w:hAnsi="Times New Roman" w:eastAsia="仿宋_GB2312" w:cs="Times New Roman"/>
          <w:b/>
          <w:bCs/>
          <w:sz w:val="32"/>
          <w:szCs w:val="32"/>
        </w:rPr>
        <w:t>——民生福祉改善迈出新步伐。</w:t>
      </w:r>
      <w:r>
        <w:rPr>
          <w:rFonts w:hint="eastAsia" w:ascii="Times New Roman" w:hAnsi="Times New Roman" w:eastAsia="仿宋_GB2312" w:cs="Times New Roman"/>
          <w:sz w:val="32"/>
          <w:szCs w:val="32"/>
        </w:rPr>
        <w:t>居民收入与经济发展保持同步，实现更加充分更高质量的就业，覆盖城乡高水平公共服务体系更趋完善，人民日益增长的美好生活需要不断得到满足，到2025年，</w:t>
      </w:r>
      <w:r>
        <w:rPr>
          <w:rFonts w:hint="eastAsia" w:ascii="Times New Roman" w:hAnsi="Times New Roman" w:eastAsia="仿宋_GB2312" w:cs="Times New Roman"/>
          <w:sz w:val="32"/>
          <w:szCs w:val="32"/>
          <w:lang w:val="en-US" w:eastAsia="zh-CN"/>
        </w:rPr>
        <w:t>力争</w:t>
      </w:r>
      <w:r>
        <w:rPr>
          <w:rFonts w:hint="eastAsia" w:ascii="Times New Roman" w:hAnsi="Times New Roman" w:eastAsia="仿宋_GB2312" w:cs="Times New Roman"/>
          <w:sz w:val="32"/>
          <w:szCs w:val="32"/>
        </w:rPr>
        <w:t>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乡</w:t>
      </w:r>
      <w:r>
        <w:rPr>
          <w:rFonts w:hint="eastAsia" w:ascii="Times New Roman" w:hAnsi="Times New Roman" w:eastAsia="仿宋_GB2312" w:cs="Times New Roman"/>
          <w:sz w:val="32"/>
          <w:szCs w:val="32"/>
          <w:lang w:val="en-US" w:eastAsia="zh-CN"/>
        </w:rPr>
        <w:t>居民人均可支配收入</w:t>
      </w:r>
      <w:r>
        <w:rPr>
          <w:rFonts w:hint="eastAsia" w:ascii="Times New Roman" w:hAnsi="Times New Roman" w:eastAsia="仿宋_GB2312" w:cs="Times New Roman"/>
          <w:sz w:val="32"/>
          <w:szCs w:val="32"/>
        </w:rPr>
        <w:t>差距比降到2.1:1。</w:t>
      </w:r>
      <w:r>
        <w:rPr>
          <w:rFonts w:hint="eastAsia" w:ascii="Times New Roman" w:hAnsi="Times New Roman" w:eastAsia="仿宋_GB2312" w:cs="Times New Roman"/>
          <w:spacing w:val="12"/>
          <w:kern w:val="0"/>
          <w:sz w:val="32"/>
          <w:szCs w:val="32"/>
          <w:shd w:val="clear" w:color="auto" w:fill="FFFFFF"/>
        </w:rPr>
        <w:t>脱贫攻坚成果巩固拓展，乡村振兴战略全面推进。</w:t>
      </w:r>
    </w:p>
    <w:p w14:paraId="5B3FBAFB">
      <w:pPr>
        <w:widowControl/>
        <w:shd w:val="clear" w:color="auto" w:fill="FFFFFF"/>
        <w:spacing w:line="520" w:lineRule="exact"/>
        <w:ind w:firstLine="420"/>
        <w:rPr>
          <w:rFonts w:hint="eastAsia" w:ascii="Times New Roman" w:hAnsi="Times New Roman" w:eastAsia="仿宋_GB2312" w:cs="Times New Roman"/>
          <w:spacing w:val="12"/>
          <w:kern w:val="0"/>
          <w:sz w:val="32"/>
          <w:szCs w:val="32"/>
          <w:shd w:val="clear" w:color="auto" w:fill="FFFFFF"/>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仿宋_GB2312" w:cs="Times New Roman"/>
          <w:b/>
          <w:bCs/>
          <w:spacing w:val="12"/>
          <w:kern w:val="0"/>
          <w:sz w:val="32"/>
          <w:szCs w:val="32"/>
          <w:shd w:val="clear" w:color="auto" w:fill="FFFFFF"/>
        </w:rPr>
        <w:t>——县域治理效能得到新提升。</w:t>
      </w:r>
      <w:r>
        <w:rPr>
          <w:rFonts w:hint="eastAsia" w:ascii="Times New Roman" w:hAnsi="Times New Roman" w:eastAsia="仿宋_GB2312" w:cs="Times New Roman"/>
          <w:sz w:val="32"/>
          <w:szCs w:val="32"/>
        </w:rPr>
        <w:t>依法治县迈出坚实步伐，社会公平正义进一步彰显，</w:t>
      </w:r>
      <w:r>
        <w:rPr>
          <w:rFonts w:hint="eastAsia" w:ascii="Times New Roman" w:hAnsi="Times New Roman" w:eastAsia="仿宋_GB2312" w:cs="Times New Roman"/>
          <w:spacing w:val="12"/>
          <w:kern w:val="0"/>
          <w:sz w:val="32"/>
          <w:szCs w:val="32"/>
          <w:shd w:val="clear" w:color="auto" w:fill="FFFFFF"/>
        </w:rPr>
        <w:t>党建引领共建共治共享</w:t>
      </w:r>
      <w:r>
        <w:rPr>
          <w:rFonts w:hint="eastAsia" w:ascii="Times New Roman" w:hAnsi="Times New Roman" w:eastAsia="仿宋_GB2312" w:cs="Times New Roman"/>
          <w:spacing w:val="12"/>
          <w:kern w:val="0"/>
          <w:sz w:val="32"/>
          <w:szCs w:val="32"/>
          <w:shd w:val="clear" w:color="auto" w:fill="FFFFFF"/>
          <w:lang w:eastAsia="zh-CN"/>
        </w:rPr>
        <w:t>的社</w:t>
      </w:r>
      <w:r>
        <w:rPr>
          <w:rFonts w:hint="eastAsia" w:ascii="Times New Roman" w:hAnsi="Times New Roman" w:eastAsia="仿宋_GB2312" w:cs="Times New Roman"/>
          <w:spacing w:val="12"/>
          <w:kern w:val="0"/>
          <w:sz w:val="32"/>
          <w:szCs w:val="32"/>
          <w:shd w:val="clear" w:color="auto" w:fill="FFFFFF"/>
        </w:rPr>
        <w:t>会治理格局和自治法治德治相结合的基层治理体系基本形成，</w:t>
      </w:r>
      <w:r>
        <w:rPr>
          <w:rFonts w:hint="eastAsia" w:ascii="Times New Roman" w:hAnsi="Times New Roman" w:eastAsia="仿宋_GB2312" w:cs="Times New Roman"/>
          <w:sz w:val="32"/>
          <w:szCs w:val="32"/>
        </w:rPr>
        <w:t>基层基础更加稳固，重大突发公共事件应急能力和防灾减灾抗灾救灾能力明显增强，防范化解重大风险和安全发展体制机制不断完善</w:t>
      </w:r>
      <w:r>
        <w:rPr>
          <w:rFonts w:hint="eastAsia" w:ascii="Times New Roman" w:hAnsi="Times New Roman" w:eastAsia="仿宋_GB2312" w:cs="Times New Roman"/>
          <w:spacing w:val="12"/>
          <w:kern w:val="0"/>
          <w:sz w:val="32"/>
          <w:szCs w:val="32"/>
          <w:shd w:val="clear" w:color="auto" w:fill="FFFFFF"/>
        </w:rPr>
        <w:t>，自然灾害防御水平明显提升。</w:t>
      </w:r>
    </w:p>
    <w:p w14:paraId="0992187B">
      <w:pPr>
        <w:jc w:val="center"/>
        <w:rPr>
          <w:rFonts w:hint="eastAsia" w:ascii="黑体" w:hAnsi="黑体" w:eastAsia="黑体" w:cs="黑体"/>
          <w:b w:val="0"/>
          <w:bCs w:val="0"/>
        </w:rPr>
      </w:pPr>
      <w:r>
        <w:rPr>
          <w:rFonts w:hint="eastAsia" w:ascii="黑体" w:hAnsi="黑体" w:eastAsia="黑体" w:cs="黑体"/>
          <w:b w:val="0"/>
          <w:bCs w:val="0"/>
          <w:spacing w:val="12"/>
          <w:kern w:val="0"/>
          <w:sz w:val="32"/>
          <w:szCs w:val="32"/>
          <w:shd w:val="clear" w:color="auto" w:fill="FFFFFF"/>
        </w:rPr>
        <w:t>息烽县“十四五”经济社会发展主要指标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649"/>
        <w:gridCol w:w="575"/>
        <w:gridCol w:w="3134"/>
        <w:gridCol w:w="1493"/>
        <w:gridCol w:w="1014"/>
        <w:gridCol w:w="1301"/>
        <w:gridCol w:w="1954"/>
        <w:gridCol w:w="1513"/>
        <w:gridCol w:w="1762"/>
      </w:tblGrid>
      <w:tr w14:paraId="4808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restart"/>
            <w:noWrap w:val="0"/>
            <w:vAlign w:val="center"/>
          </w:tcPr>
          <w:p w14:paraId="128AC94E">
            <w:pPr>
              <w:widowControl/>
              <w:snapToGrid w:val="0"/>
              <w:jc w:val="center"/>
              <w:rPr>
                <w:rFonts w:cs="宋体"/>
                <w:b/>
                <w:bCs/>
                <w:kern w:val="0"/>
                <w:sz w:val="15"/>
                <w:szCs w:val="15"/>
              </w:rPr>
            </w:pPr>
            <w:bookmarkStart w:id="70" w:name="_Toc2382"/>
            <w:bookmarkStart w:id="71" w:name="_Toc58580286"/>
            <w:r>
              <w:rPr>
                <w:rFonts w:hint="eastAsia" w:cs="宋体"/>
                <w:b/>
                <w:bCs/>
                <w:kern w:val="0"/>
                <w:sz w:val="15"/>
                <w:szCs w:val="15"/>
              </w:rPr>
              <w:t>类</w:t>
            </w:r>
            <w:bookmarkEnd w:id="69"/>
            <w:r>
              <w:rPr>
                <w:rFonts w:hint="eastAsia" w:cs="宋体"/>
                <w:b/>
                <w:bCs/>
                <w:kern w:val="0"/>
                <w:sz w:val="15"/>
                <w:szCs w:val="15"/>
              </w:rPr>
              <w:t>别</w:t>
            </w:r>
          </w:p>
        </w:tc>
        <w:tc>
          <w:tcPr>
            <w:tcW w:w="649" w:type="dxa"/>
            <w:vMerge w:val="restart"/>
            <w:noWrap w:val="0"/>
            <w:vAlign w:val="center"/>
          </w:tcPr>
          <w:p w14:paraId="33730FF1">
            <w:pPr>
              <w:widowControl/>
              <w:snapToGrid w:val="0"/>
              <w:jc w:val="center"/>
              <w:rPr>
                <w:rFonts w:cs="宋体"/>
                <w:b/>
                <w:bCs/>
                <w:kern w:val="0"/>
                <w:sz w:val="15"/>
                <w:szCs w:val="15"/>
              </w:rPr>
            </w:pPr>
            <w:r>
              <w:rPr>
                <w:rFonts w:hint="eastAsia" w:cs="宋体"/>
                <w:b/>
                <w:bCs/>
                <w:kern w:val="0"/>
                <w:sz w:val="15"/>
                <w:szCs w:val="15"/>
              </w:rPr>
              <w:t>小类</w:t>
            </w:r>
          </w:p>
        </w:tc>
        <w:tc>
          <w:tcPr>
            <w:tcW w:w="575" w:type="dxa"/>
            <w:vMerge w:val="restart"/>
            <w:noWrap w:val="0"/>
            <w:vAlign w:val="center"/>
          </w:tcPr>
          <w:p w14:paraId="45398166">
            <w:pPr>
              <w:widowControl/>
              <w:snapToGrid w:val="0"/>
              <w:jc w:val="center"/>
              <w:rPr>
                <w:rFonts w:cs="宋体"/>
                <w:b/>
                <w:bCs/>
                <w:kern w:val="0"/>
                <w:sz w:val="15"/>
                <w:szCs w:val="15"/>
              </w:rPr>
            </w:pPr>
            <w:r>
              <w:rPr>
                <w:rFonts w:hint="eastAsia" w:cs="宋体"/>
                <w:b/>
                <w:bCs/>
                <w:kern w:val="0"/>
                <w:sz w:val="15"/>
                <w:szCs w:val="15"/>
              </w:rPr>
              <w:t>序号</w:t>
            </w:r>
          </w:p>
        </w:tc>
        <w:tc>
          <w:tcPr>
            <w:tcW w:w="3134" w:type="dxa"/>
            <w:vMerge w:val="restart"/>
            <w:noWrap w:val="0"/>
            <w:vAlign w:val="center"/>
          </w:tcPr>
          <w:p w14:paraId="21F476CF">
            <w:pPr>
              <w:widowControl/>
              <w:snapToGrid w:val="0"/>
              <w:jc w:val="center"/>
              <w:rPr>
                <w:rFonts w:cs="宋体"/>
                <w:b/>
                <w:bCs/>
                <w:kern w:val="0"/>
                <w:sz w:val="15"/>
                <w:szCs w:val="15"/>
              </w:rPr>
            </w:pPr>
            <w:r>
              <w:rPr>
                <w:rFonts w:hint="eastAsia" w:cs="宋体"/>
                <w:b/>
                <w:bCs/>
                <w:kern w:val="0"/>
                <w:sz w:val="15"/>
                <w:szCs w:val="15"/>
              </w:rPr>
              <w:t>指标名称</w:t>
            </w:r>
          </w:p>
        </w:tc>
        <w:tc>
          <w:tcPr>
            <w:tcW w:w="2507" w:type="dxa"/>
            <w:gridSpan w:val="2"/>
            <w:noWrap w:val="0"/>
            <w:vAlign w:val="center"/>
          </w:tcPr>
          <w:p w14:paraId="7B906B46">
            <w:pPr>
              <w:widowControl/>
              <w:snapToGrid w:val="0"/>
              <w:jc w:val="center"/>
              <w:rPr>
                <w:rFonts w:cs="宋体"/>
                <w:b/>
                <w:bCs/>
                <w:kern w:val="0"/>
                <w:sz w:val="15"/>
                <w:szCs w:val="15"/>
              </w:rPr>
            </w:pPr>
            <w:r>
              <w:rPr>
                <w:rFonts w:hint="eastAsia" w:cs="宋体"/>
                <w:b/>
                <w:bCs/>
                <w:kern w:val="0"/>
                <w:sz w:val="15"/>
                <w:szCs w:val="15"/>
              </w:rPr>
              <w:t>“十三五”末期</w:t>
            </w:r>
          </w:p>
        </w:tc>
        <w:tc>
          <w:tcPr>
            <w:tcW w:w="3255" w:type="dxa"/>
            <w:gridSpan w:val="2"/>
            <w:noWrap w:val="0"/>
            <w:vAlign w:val="center"/>
          </w:tcPr>
          <w:p w14:paraId="394B5E58">
            <w:pPr>
              <w:widowControl/>
              <w:snapToGrid w:val="0"/>
              <w:jc w:val="center"/>
              <w:rPr>
                <w:rFonts w:cs="宋体"/>
                <w:b/>
                <w:bCs/>
                <w:kern w:val="0"/>
                <w:sz w:val="15"/>
                <w:szCs w:val="15"/>
              </w:rPr>
            </w:pPr>
            <w:r>
              <w:rPr>
                <w:rFonts w:hint="eastAsia" w:cs="宋体"/>
                <w:b/>
                <w:bCs/>
                <w:kern w:val="0"/>
                <w:sz w:val="15"/>
                <w:szCs w:val="15"/>
              </w:rPr>
              <w:t>“十四五”末期预计完成情况</w:t>
            </w:r>
          </w:p>
        </w:tc>
        <w:tc>
          <w:tcPr>
            <w:tcW w:w="1513" w:type="dxa"/>
            <w:vMerge w:val="restart"/>
            <w:noWrap w:val="0"/>
            <w:vAlign w:val="center"/>
          </w:tcPr>
          <w:p w14:paraId="3EE97F03">
            <w:pPr>
              <w:widowControl/>
              <w:snapToGrid w:val="0"/>
              <w:jc w:val="center"/>
              <w:rPr>
                <w:rFonts w:cs="宋体"/>
                <w:b/>
                <w:bCs/>
                <w:kern w:val="0"/>
                <w:sz w:val="15"/>
                <w:szCs w:val="15"/>
              </w:rPr>
            </w:pPr>
            <w:r>
              <w:rPr>
                <w:rFonts w:hint="eastAsia" w:cs="宋体"/>
                <w:b/>
                <w:bCs/>
                <w:kern w:val="0"/>
                <w:sz w:val="15"/>
                <w:szCs w:val="15"/>
              </w:rPr>
              <w:t>指标属性</w:t>
            </w:r>
          </w:p>
        </w:tc>
        <w:tc>
          <w:tcPr>
            <w:tcW w:w="1762" w:type="dxa"/>
            <w:vMerge w:val="restart"/>
            <w:noWrap w:val="0"/>
            <w:vAlign w:val="center"/>
          </w:tcPr>
          <w:p w14:paraId="3C89E906">
            <w:pPr>
              <w:widowControl/>
              <w:snapToGrid w:val="0"/>
              <w:jc w:val="center"/>
              <w:rPr>
                <w:rFonts w:cs="宋体"/>
                <w:kern w:val="0"/>
                <w:sz w:val="15"/>
                <w:szCs w:val="15"/>
              </w:rPr>
            </w:pPr>
            <w:r>
              <w:rPr>
                <w:rFonts w:hint="eastAsia" w:cs="宋体"/>
                <w:kern w:val="0"/>
                <w:sz w:val="15"/>
                <w:szCs w:val="15"/>
              </w:rPr>
              <w:t>责任单位</w:t>
            </w:r>
          </w:p>
        </w:tc>
      </w:tr>
      <w:tr w14:paraId="5E7E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43" w:type="dxa"/>
            <w:vMerge w:val="continue"/>
            <w:noWrap w:val="0"/>
            <w:vAlign w:val="center"/>
          </w:tcPr>
          <w:p w14:paraId="5D038C4E">
            <w:pPr>
              <w:widowControl/>
              <w:snapToGrid w:val="0"/>
              <w:jc w:val="center"/>
              <w:rPr>
                <w:rFonts w:cs="宋体"/>
                <w:b/>
                <w:bCs/>
                <w:kern w:val="0"/>
                <w:sz w:val="15"/>
                <w:szCs w:val="15"/>
              </w:rPr>
            </w:pPr>
          </w:p>
        </w:tc>
        <w:tc>
          <w:tcPr>
            <w:tcW w:w="649" w:type="dxa"/>
            <w:vMerge w:val="continue"/>
            <w:noWrap w:val="0"/>
            <w:vAlign w:val="center"/>
          </w:tcPr>
          <w:p w14:paraId="113CC37B">
            <w:pPr>
              <w:widowControl/>
              <w:snapToGrid w:val="0"/>
              <w:jc w:val="center"/>
              <w:rPr>
                <w:rFonts w:cs="宋体"/>
                <w:b/>
                <w:bCs/>
                <w:kern w:val="0"/>
                <w:sz w:val="15"/>
                <w:szCs w:val="15"/>
              </w:rPr>
            </w:pPr>
          </w:p>
        </w:tc>
        <w:tc>
          <w:tcPr>
            <w:tcW w:w="575" w:type="dxa"/>
            <w:vMerge w:val="continue"/>
            <w:noWrap w:val="0"/>
            <w:vAlign w:val="center"/>
          </w:tcPr>
          <w:p w14:paraId="0538D071">
            <w:pPr>
              <w:widowControl/>
              <w:snapToGrid w:val="0"/>
              <w:jc w:val="center"/>
              <w:rPr>
                <w:rFonts w:cs="宋体"/>
                <w:b/>
                <w:bCs/>
                <w:kern w:val="0"/>
                <w:sz w:val="15"/>
                <w:szCs w:val="15"/>
              </w:rPr>
            </w:pPr>
          </w:p>
        </w:tc>
        <w:tc>
          <w:tcPr>
            <w:tcW w:w="3134" w:type="dxa"/>
            <w:vMerge w:val="continue"/>
            <w:noWrap w:val="0"/>
            <w:vAlign w:val="center"/>
          </w:tcPr>
          <w:p w14:paraId="69667B11">
            <w:pPr>
              <w:widowControl/>
              <w:snapToGrid w:val="0"/>
              <w:jc w:val="center"/>
              <w:rPr>
                <w:rFonts w:cs="宋体"/>
                <w:b/>
                <w:bCs/>
                <w:kern w:val="0"/>
                <w:sz w:val="15"/>
                <w:szCs w:val="15"/>
              </w:rPr>
            </w:pPr>
          </w:p>
        </w:tc>
        <w:tc>
          <w:tcPr>
            <w:tcW w:w="1493" w:type="dxa"/>
            <w:noWrap w:val="0"/>
            <w:vAlign w:val="center"/>
          </w:tcPr>
          <w:p w14:paraId="69FA2F20">
            <w:pPr>
              <w:widowControl/>
              <w:snapToGrid w:val="0"/>
              <w:jc w:val="center"/>
              <w:rPr>
                <w:rFonts w:cs="宋体"/>
                <w:b/>
                <w:bCs/>
                <w:kern w:val="0"/>
                <w:sz w:val="15"/>
                <w:szCs w:val="15"/>
              </w:rPr>
            </w:pPr>
            <w:r>
              <w:rPr>
                <w:rFonts w:hint="eastAsia" w:cs="宋体"/>
                <w:b/>
                <w:bCs/>
                <w:kern w:val="0"/>
                <w:sz w:val="15"/>
                <w:szCs w:val="15"/>
              </w:rPr>
              <w:t>绝对值</w:t>
            </w:r>
          </w:p>
        </w:tc>
        <w:tc>
          <w:tcPr>
            <w:tcW w:w="1014" w:type="dxa"/>
            <w:noWrap w:val="0"/>
            <w:vAlign w:val="center"/>
          </w:tcPr>
          <w:p w14:paraId="19E35D5C">
            <w:pPr>
              <w:widowControl/>
              <w:snapToGrid w:val="0"/>
              <w:jc w:val="center"/>
              <w:rPr>
                <w:rFonts w:cs="宋体"/>
                <w:b/>
                <w:bCs/>
                <w:kern w:val="0"/>
                <w:sz w:val="15"/>
                <w:szCs w:val="15"/>
              </w:rPr>
            </w:pPr>
            <w:r>
              <w:rPr>
                <w:rFonts w:hint="eastAsia" w:cs="宋体"/>
                <w:b/>
                <w:bCs/>
                <w:kern w:val="0"/>
                <w:sz w:val="15"/>
                <w:szCs w:val="15"/>
              </w:rPr>
              <w:t>增长（%）</w:t>
            </w:r>
          </w:p>
        </w:tc>
        <w:tc>
          <w:tcPr>
            <w:tcW w:w="1301" w:type="dxa"/>
            <w:noWrap w:val="0"/>
            <w:vAlign w:val="center"/>
          </w:tcPr>
          <w:p w14:paraId="7141DD16">
            <w:pPr>
              <w:widowControl/>
              <w:snapToGrid w:val="0"/>
              <w:jc w:val="center"/>
              <w:rPr>
                <w:rFonts w:cs="宋体"/>
                <w:b/>
                <w:bCs/>
                <w:kern w:val="0"/>
                <w:sz w:val="15"/>
                <w:szCs w:val="15"/>
              </w:rPr>
            </w:pPr>
            <w:r>
              <w:rPr>
                <w:rFonts w:hint="eastAsia" w:cs="宋体"/>
                <w:b/>
                <w:bCs/>
                <w:kern w:val="0"/>
                <w:sz w:val="15"/>
                <w:szCs w:val="15"/>
              </w:rPr>
              <w:t>绝对值</w:t>
            </w:r>
          </w:p>
        </w:tc>
        <w:tc>
          <w:tcPr>
            <w:tcW w:w="1954" w:type="dxa"/>
            <w:noWrap w:val="0"/>
            <w:vAlign w:val="center"/>
          </w:tcPr>
          <w:p w14:paraId="6689611C">
            <w:pPr>
              <w:widowControl/>
              <w:snapToGrid w:val="0"/>
              <w:jc w:val="center"/>
              <w:rPr>
                <w:rFonts w:cs="宋体"/>
                <w:b/>
                <w:bCs/>
                <w:kern w:val="0"/>
                <w:sz w:val="15"/>
                <w:szCs w:val="15"/>
              </w:rPr>
            </w:pPr>
            <w:r>
              <w:rPr>
                <w:rFonts w:hint="eastAsia" w:cs="宋体"/>
                <w:b/>
                <w:bCs/>
                <w:kern w:val="0"/>
                <w:sz w:val="15"/>
                <w:szCs w:val="15"/>
              </w:rPr>
              <w:t>年均增长（%）</w:t>
            </w:r>
          </w:p>
        </w:tc>
        <w:tc>
          <w:tcPr>
            <w:tcW w:w="1513" w:type="dxa"/>
            <w:vMerge w:val="continue"/>
            <w:noWrap w:val="0"/>
            <w:vAlign w:val="center"/>
          </w:tcPr>
          <w:p w14:paraId="637F83B0">
            <w:pPr>
              <w:widowControl/>
              <w:snapToGrid w:val="0"/>
              <w:jc w:val="center"/>
              <w:rPr>
                <w:rFonts w:cs="宋体"/>
                <w:b/>
                <w:bCs/>
                <w:kern w:val="0"/>
                <w:sz w:val="15"/>
                <w:szCs w:val="15"/>
              </w:rPr>
            </w:pPr>
          </w:p>
        </w:tc>
        <w:tc>
          <w:tcPr>
            <w:tcW w:w="1762" w:type="dxa"/>
            <w:vMerge w:val="continue"/>
            <w:noWrap w:val="0"/>
            <w:vAlign w:val="center"/>
          </w:tcPr>
          <w:p w14:paraId="422E6459">
            <w:pPr>
              <w:widowControl/>
              <w:snapToGrid w:val="0"/>
              <w:jc w:val="center"/>
              <w:rPr>
                <w:rFonts w:cs="宋体"/>
                <w:kern w:val="0"/>
                <w:sz w:val="15"/>
                <w:szCs w:val="15"/>
              </w:rPr>
            </w:pPr>
          </w:p>
        </w:tc>
      </w:tr>
      <w:tr w14:paraId="1F4D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restart"/>
            <w:noWrap w:val="0"/>
            <w:vAlign w:val="center"/>
          </w:tcPr>
          <w:p w14:paraId="63A70375">
            <w:pPr>
              <w:widowControl/>
              <w:snapToGrid w:val="0"/>
              <w:jc w:val="center"/>
              <w:rPr>
                <w:rFonts w:cs="宋体"/>
                <w:kern w:val="0"/>
                <w:sz w:val="15"/>
                <w:szCs w:val="15"/>
              </w:rPr>
            </w:pPr>
            <w:r>
              <w:rPr>
                <w:rFonts w:hint="eastAsia" w:cs="宋体"/>
                <w:kern w:val="0"/>
                <w:sz w:val="15"/>
                <w:szCs w:val="15"/>
              </w:rPr>
              <w:t>经济发展</w:t>
            </w:r>
          </w:p>
        </w:tc>
        <w:tc>
          <w:tcPr>
            <w:tcW w:w="649" w:type="dxa"/>
            <w:vMerge w:val="restart"/>
            <w:noWrap w:val="0"/>
            <w:vAlign w:val="center"/>
          </w:tcPr>
          <w:p w14:paraId="50A94AFF">
            <w:pPr>
              <w:widowControl/>
              <w:snapToGrid w:val="0"/>
              <w:jc w:val="center"/>
              <w:rPr>
                <w:rFonts w:cs="宋体"/>
                <w:kern w:val="0"/>
                <w:sz w:val="15"/>
                <w:szCs w:val="15"/>
              </w:rPr>
            </w:pPr>
            <w:r>
              <w:rPr>
                <w:rFonts w:hint="eastAsia" w:cs="宋体"/>
                <w:kern w:val="0"/>
                <w:sz w:val="15"/>
                <w:szCs w:val="15"/>
              </w:rPr>
              <w:t>经济</w:t>
            </w:r>
          </w:p>
        </w:tc>
        <w:tc>
          <w:tcPr>
            <w:tcW w:w="575" w:type="dxa"/>
            <w:noWrap w:val="0"/>
            <w:vAlign w:val="center"/>
          </w:tcPr>
          <w:p w14:paraId="3CE8D1A1">
            <w:pPr>
              <w:widowControl/>
              <w:snapToGrid w:val="0"/>
              <w:jc w:val="center"/>
              <w:rPr>
                <w:rFonts w:cs="宋体"/>
                <w:kern w:val="0"/>
                <w:sz w:val="15"/>
                <w:szCs w:val="15"/>
              </w:rPr>
            </w:pPr>
            <w:r>
              <w:rPr>
                <w:rFonts w:hint="eastAsia" w:cs="宋体"/>
                <w:kern w:val="0"/>
                <w:sz w:val="15"/>
                <w:szCs w:val="15"/>
              </w:rPr>
              <w:t>1</w:t>
            </w:r>
          </w:p>
        </w:tc>
        <w:tc>
          <w:tcPr>
            <w:tcW w:w="3134" w:type="dxa"/>
            <w:noWrap w:val="0"/>
            <w:vAlign w:val="center"/>
          </w:tcPr>
          <w:p w14:paraId="0B813AAD">
            <w:pPr>
              <w:widowControl/>
              <w:snapToGrid w:val="0"/>
              <w:jc w:val="left"/>
              <w:rPr>
                <w:rFonts w:cs="宋体"/>
                <w:kern w:val="0"/>
                <w:sz w:val="15"/>
                <w:szCs w:val="15"/>
              </w:rPr>
            </w:pPr>
            <w:r>
              <w:rPr>
                <w:rFonts w:hint="eastAsia" w:cs="宋体"/>
                <w:kern w:val="0"/>
                <w:sz w:val="15"/>
                <w:szCs w:val="15"/>
              </w:rPr>
              <w:t>地方生产总值（亿元）</w:t>
            </w:r>
          </w:p>
        </w:tc>
        <w:tc>
          <w:tcPr>
            <w:tcW w:w="1493" w:type="dxa"/>
            <w:noWrap w:val="0"/>
            <w:vAlign w:val="center"/>
          </w:tcPr>
          <w:p w14:paraId="5D93FB87">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152.8</w:t>
            </w:r>
          </w:p>
        </w:tc>
        <w:tc>
          <w:tcPr>
            <w:tcW w:w="1014" w:type="dxa"/>
            <w:noWrap w:val="0"/>
            <w:vAlign w:val="center"/>
          </w:tcPr>
          <w:p w14:paraId="0BE97E55">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9.8</w:t>
            </w:r>
          </w:p>
        </w:tc>
        <w:tc>
          <w:tcPr>
            <w:tcW w:w="1301" w:type="dxa"/>
            <w:noWrap w:val="0"/>
            <w:vAlign w:val="center"/>
          </w:tcPr>
          <w:p w14:paraId="2CFFCFCC">
            <w:pPr>
              <w:widowControl/>
              <w:snapToGrid w:val="0"/>
              <w:jc w:val="center"/>
              <w:rPr>
                <w:rFonts w:hint="default" w:eastAsia="等线" w:cs="宋体"/>
                <w:kern w:val="0"/>
                <w:sz w:val="15"/>
                <w:szCs w:val="15"/>
                <w:lang w:val="en-US" w:eastAsia="zh-CN"/>
              </w:rPr>
            </w:pPr>
            <w:r>
              <w:rPr>
                <w:rFonts w:hint="eastAsia" w:cs="宋体"/>
                <w:kern w:val="0"/>
                <w:sz w:val="15"/>
                <w:szCs w:val="15"/>
              </w:rPr>
              <w:t>2</w:t>
            </w:r>
            <w:r>
              <w:rPr>
                <w:rFonts w:hint="eastAsia" w:cs="宋体"/>
                <w:kern w:val="0"/>
                <w:sz w:val="15"/>
                <w:szCs w:val="15"/>
                <w:lang w:val="en-US" w:eastAsia="zh-CN"/>
              </w:rPr>
              <w:t>52</w:t>
            </w:r>
          </w:p>
        </w:tc>
        <w:tc>
          <w:tcPr>
            <w:tcW w:w="1954" w:type="dxa"/>
            <w:noWrap w:val="0"/>
            <w:vAlign w:val="center"/>
          </w:tcPr>
          <w:p w14:paraId="40B3793D">
            <w:pPr>
              <w:widowControl/>
              <w:snapToGrid w:val="0"/>
              <w:jc w:val="center"/>
              <w:rPr>
                <w:rFonts w:hint="default" w:cs="宋体"/>
                <w:kern w:val="0"/>
                <w:sz w:val="15"/>
                <w:szCs w:val="15"/>
                <w:lang w:val="en-US"/>
              </w:rPr>
            </w:pPr>
            <w:r>
              <w:rPr>
                <w:rFonts w:hint="eastAsia" w:cs="宋体"/>
                <w:kern w:val="0"/>
                <w:sz w:val="15"/>
                <w:szCs w:val="15"/>
                <w:lang w:val="en-US" w:eastAsia="zh-CN"/>
              </w:rPr>
              <w:t>10.5以上</w:t>
            </w:r>
          </w:p>
        </w:tc>
        <w:tc>
          <w:tcPr>
            <w:tcW w:w="1513" w:type="dxa"/>
            <w:noWrap w:val="0"/>
            <w:vAlign w:val="center"/>
          </w:tcPr>
          <w:p w14:paraId="66B5DA8B">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10847844">
            <w:pPr>
              <w:widowControl/>
              <w:snapToGrid w:val="0"/>
              <w:jc w:val="center"/>
              <w:rPr>
                <w:rFonts w:cs="宋体"/>
                <w:kern w:val="0"/>
                <w:sz w:val="15"/>
                <w:szCs w:val="15"/>
              </w:rPr>
            </w:pPr>
            <w:r>
              <w:rPr>
                <w:rFonts w:hint="eastAsia" w:cs="宋体"/>
                <w:kern w:val="0"/>
                <w:sz w:val="15"/>
                <w:szCs w:val="15"/>
              </w:rPr>
              <w:t>发改局</w:t>
            </w:r>
          </w:p>
        </w:tc>
      </w:tr>
      <w:tr w14:paraId="6C25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5EE508A1">
            <w:pPr>
              <w:widowControl/>
              <w:snapToGrid w:val="0"/>
              <w:jc w:val="center"/>
              <w:rPr>
                <w:rFonts w:cs="宋体"/>
                <w:kern w:val="0"/>
                <w:sz w:val="15"/>
                <w:szCs w:val="15"/>
              </w:rPr>
            </w:pPr>
          </w:p>
        </w:tc>
        <w:tc>
          <w:tcPr>
            <w:tcW w:w="649" w:type="dxa"/>
            <w:vMerge w:val="continue"/>
            <w:noWrap w:val="0"/>
            <w:vAlign w:val="center"/>
          </w:tcPr>
          <w:p w14:paraId="1393CC96">
            <w:pPr>
              <w:widowControl/>
              <w:snapToGrid w:val="0"/>
              <w:jc w:val="center"/>
              <w:rPr>
                <w:rFonts w:cs="宋体"/>
                <w:kern w:val="0"/>
                <w:sz w:val="15"/>
                <w:szCs w:val="15"/>
              </w:rPr>
            </w:pPr>
          </w:p>
        </w:tc>
        <w:tc>
          <w:tcPr>
            <w:tcW w:w="575" w:type="dxa"/>
            <w:noWrap w:val="0"/>
            <w:vAlign w:val="center"/>
          </w:tcPr>
          <w:p w14:paraId="5F9D85B3">
            <w:pPr>
              <w:widowControl/>
              <w:snapToGrid w:val="0"/>
              <w:jc w:val="center"/>
              <w:rPr>
                <w:rFonts w:cs="宋体"/>
                <w:kern w:val="0"/>
                <w:sz w:val="15"/>
                <w:szCs w:val="15"/>
              </w:rPr>
            </w:pPr>
            <w:r>
              <w:rPr>
                <w:rFonts w:hint="eastAsia" w:cs="宋体"/>
                <w:kern w:val="0"/>
                <w:sz w:val="15"/>
                <w:szCs w:val="15"/>
              </w:rPr>
              <w:t>2</w:t>
            </w:r>
          </w:p>
        </w:tc>
        <w:tc>
          <w:tcPr>
            <w:tcW w:w="3134" w:type="dxa"/>
            <w:noWrap w:val="0"/>
            <w:vAlign w:val="center"/>
          </w:tcPr>
          <w:p w14:paraId="02E8A9C1">
            <w:pPr>
              <w:widowControl/>
              <w:snapToGrid w:val="0"/>
              <w:ind w:firstLine="300" w:firstLineChars="200"/>
              <w:jc w:val="left"/>
              <w:rPr>
                <w:rFonts w:cs="宋体"/>
                <w:kern w:val="0"/>
                <w:sz w:val="15"/>
                <w:szCs w:val="15"/>
              </w:rPr>
            </w:pPr>
            <w:r>
              <w:rPr>
                <w:rFonts w:hint="eastAsia" w:cs="宋体"/>
                <w:kern w:val="0"/>
                <w:sz w:val="15"/>
                <w:szCs w:val="15"/>
              </w:rPr>
              <w:t>#第一产业（亿元）</w:t>
            </w:r>
          </w:p>
        </w:tc>
        <w:tc>
          <w:tcPr>
            <w:tcW w:w="1493" w:type="dxa"/>
            <w:noWrap w:val="0"/>
            <w:vAlign w:val="center"/>
          </w:tcPr>
          <w:p w14:paraId="63DD6BD8">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24.38</w:t>
            </w:r>
          </w:p>
        </w:tc>
        <w:tc>
          <w:tcPr>
            <w:tcW w:w="1014" w:type="dxa"/>
            <w:noWrap w:val="0"/>
            <w:vAlign w:val="center"/>
          </w:tcPr>
          <w:p w14:paraId="1EC1561D">
            <w:pPr>
              <w:widowControl/>
              <w:snapToGrid w:val="0"/>
              <w:jc w:val="center"/>
              <w:rPr>
                <w:rFonts w:hint="eastAsia" w:eastAsia="等线" w:cs="宋体"/>
                <w:kern w:val="0"/>
                <w:sz w:val="15"/>
                <w:szCs w:val="15"/>
                <w:lang w:eastAsia="zh-CN"/>
              </w:rPr>
            </w:pPr>
            <w:r>
              <w:rPr>
                <w:rFonts w:hint="eastAsia" w:cs="宋体"/>
                <w:kern w:val="0"/>
                <w:sz w:val="15"/>
                <w:szCs w:val="15"/>
              </w:rPr>
              <w:t>6.</w:t>
            </w:r>
            <w:r>
              <w:rPr>
                <w:rFonts w:hint="eastAsia" w:cs="宋体"/>
                <w:kern w:val="0"/>
                <w:sz w:val="15"/>
                <w:szCs w:val="15"/>
                <w:lang w:val="en-US" w:eastAsia="zh-CN"/>
              </w:rPr>
              <w:t>7</w:t>
            </w:r>
          </w:p>
        </w:tc>
        <w:tc>
          <w:tcPr>
            <w:tcW w:w="1301" w:type="dxa"/>
            <w:noWrap w:val="0"/>
            <w:vAlign w:val="center"/>
          </w:tcPr>
          <w:p w14:paraId="468AD724">
            <w:pPr>
              <w:widowControl/>
              <w:snapToGrid w:val="0"/>
              <w:jc w:val="center"/>
              <w:rPr>
                <w:rFonts w:cs="宋体"/>
                <w:kern w:val="0"/>
                <w:sz w:val="15"/>
                <w:szCs w:val="15"/>
              </w:rPr>
            </w:pPr>
            <w:r>
              <w:rPr>
                <w:rFonts w:hint="eastAsia" w:cs="宋体"/>
                <w:kern w:val="0"/>
                <w:sz w:val="15"/>
                <w:szCs w:val="15"/>
              </w:rPr>
              <w:t>——</w:t>
            </w:r>
          </w:p>
        </w:tc>
        <w:tc>
          <w:tcPr>
            <w:tcW w:w="1954" w:type="dxa"/>
            <w:noWrap w:val="0"/>
            <w:vAlign w:val="center"/>
          </w:tcPr>
          <w:p w14:paraId="6456C97A">
            <w:pPr>
              <w:widowControl/>
              <w:snapToGrid w:val="0"/>
              <w:jc w:val="center"/>
              <w:rPr>
                <w:rFonts w:cs="宋体"/>
                <w:kern w:val="0"/>
                <w:sz w:val="15"/>
                <w:szCs w:val="15"/>
              </w:rPr>
            </w:pPr>
            <w:r>
              <w:rPr>
                <w:rFonts w:hint="eastAsia" w:cs="宋体"/>
                <w:kern w:val="0"/>
                <w:sz w:val="15"/>
                <w:szCs w:val="15"/>
              </w:rPr>
              <w:t>6.8</w:t>
            </w:r>
          </w:p>
        </w:tc>
        <w:tc>
          <w:tcPr>
            <w:tcW w:w="1513" w:type="dxa"/>
            <w:noWrap w:val="0"/>
            <w:vAlign w:val="center"/>
          </w:tcPr>
          <w:p w14:paraId="3D7D2A6D">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71F448E6">
            <w:pPr>
              <w:widowControl/>
              <w:snapToGrid w:val="0"/>
              <w:jc w:val="center"/>
              <w:rPr>
                <w:rFonts w:cs="宋体"/>
                <w:kern w:val="0"/>
                <w:sz w:val="15"/>
                <w:szCs w:val="15"/>
              </w:rPr>
            </w:pPr>
            <w:r>
              <w:rPr>
                <w:rFonts w:hint="eastAsia" w:cs="宋体"/>
                <w:kern w:val="0"/>
                <w:sz w:val="15"/>
                <w:szCs w:val="15"/>
              </w:rPr>
              <w:t>农业农村局</w:t>
            </w:r>
          </w:p>
        </w:tc>
      </w:tr>
      <w:tr w14:paraId="5FBF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03F16120">
            <w:pPr>
              <w:widowControl/>
              <w:snapToGrid w:val="0"/>
              <w:jc w:val="center"/>
              <w:rPr>
                <w:rFonts w:cs="宋体"/>
                <w:kern w:val="0"/>
                <w:sz w:val="15"/>
                <w:szCs w:val="15"/>
              </w:rPr>
            </w:pPr>
          </w:p>
        </w:tc>
        <w:tc>
          <w:tcPr>
            <w:tcW w:w="649" w:type="dxa"/>
            <w:vMerge w:val="continue"/>
            <w:noWrap w:val="0"/>
            <w:vAlign w:val="center"/>
          </w:tcPr>
          <w:p w14:paraId="1A44EB54">
            <w:pPr>
              <w:widowControl/>
              <w:snapToGrid w:val="0"/>
              <w:jc w:val="center"/>
              <w:rPr>
                <w:rFonts w:cs="宋体"/>
                <w:kern w:val="0"/>
                <w:sz w:val="15"/>
                <w:szCs w:val="15"/>
              </w:rPr>
            </w:pPr>
          </w:p>
        </w:tc>
        <w:tc>
          <w:tcPr>
            <w:tcW w:w="575" w:type="dxa"/>
            <w:vMerge w:val="restart"/>
            <w:noWrap w:val="0"/>
            <w:vAlign w:val="center"/>
          </w:tcPr>
          <w:p w14:paraId="3B1D2337">
            <w:pPr>
              <w:widowControl/>
              <w:snapToGrid w:val="0"/>
              <w:jc w:val="center"/>
              <w:rPr>
                <w:rFonts w:cs="宋体"/>
                <w:kern w:val="0"/>
                <w:sz w:val="15"/>
                <w:szCs w:val="15"/>
              </w:rPr>
            </w:pPr>
            <w:r>
              <w:rPr>
                <w:rFonts w:hint="eastAsia" w:cs="宋体"/>
                <w:kern w:val="0"/>
                <w:sz w:val="15"/>
                <w:szCs w:val="15"/>
              </w:rPr>
              <w:t>3</w:t>
            </w:r>
          </w:p>
        </w:tc>
        <w:tc>
          <w:tcPr>
            <w:tcW w:w="3134" w:type="dxa"/>
            <w:noWrap w:val="0"/>
            <w:vAlign w:val="center"/>
          </w:tcPr>
          <w:p w14:paraId="25854D9A">
            <w:pPr>
              <w:widowControl/>
              <w:snapToGrid w:val="0"/>
              <w:ind w:firstLine="300" w:firstLineChars="200"/>
              <w:jc w:val="left"/>
              <w:rPr>
                <w:rFonts w:cs="宋体"/>
                <w:kern w:val="0"/>
                <w:sz w:val="15"/>
                <w:szCs w:val="15"/>
              </w:rPr>
            </w:pPr>
            <w:r>
              <w:rPr>
                <w:rFonts w:hint="eastAsia" w:cs="宋体"/>
                <w:kern w:val="0"/>
                <w:sz w:val="15"/>
                <w:szCs w:val="15"/>
              </w:rPr>
              <w:t>#第二产业（亿元）</w:t>
            </w:r>
          </w:p>
        </w:tc>
        <w:tc>
          <w:tcPr>
            <w:tcW w:w="1493" w:type="dxa"/>
            <w:noWrap w:val="0"/>
            <w:vAlign w:val="center"/>
          </w:tcPr>
          <w:p w14:paraId="420F67F2">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49.3</w:t>
            </w:r>
          </w:p>
        </w:tc>
        <w:tc>
          <w:tcPr>
            <w:tcW w:w="1014" w:type="dxa"/>
            <w:noWrap w:val="0"/>
            <w:vAlign w:val="center"/>
          </w:tcPr>
          <w:p w14:paraId="24C5D354">
            <w:pPr>
              <w:widowControl/>
              <w:snapToGrid w:val="0"/>
              <w:jc w:val="center"/>
              <w:rPr>
                <w:rFonts w:hint="eastAsia" w:eastAsia="等线" w:cs="宋体"/>
                <w:kern w:val="0"/>
                <w:sz w:val="15"/>
                <w:szCs w:val="15"/>
                <w:lang w:eastAsia="zh-CN"/>
              </w:rPr>
            </w:pPr>
            <w:r>
              <w:rPr>
                <w:rFonts w:hint="eastAsia" w:cs="宋体"/>
                <w:kern w:val="0"/>
                <w:sz w:val="15"/>
                <w:szCs w:val="15"/>
              </w:rPr>
              <w:t>10.</w:t>
            </w:r>
            <w:r>
              <w:rPr>
                <w:rFonts w:hint="eastAsia" w:cs="宋体"/>
                <w:kern w:val="0"/>
                <w:sz w:val="15"/>
                <w:szCs w:val="15"/>
                <w:lang w:val="en-US" w:eastAsia="zh-CN"/>
              </w:rPr>
              <w:t>2</w:t>
            </w:r>
          </w:p>
        </w:tc>
        <w:tc>
          <w:tcPr>
            <w:tcW w:w="1301" w:type="dxa"/>
            <w:noWrap w:val="0"/>
            <w:vAlign w:val="center"/>
          </w:tcPr>
          <w:p w14:paraId="279C0046">
            <w:pPr>
              <w:widowControl/>
              <w:snapToGrid w:val="0"/>
              <w:jc w:val="center"/>
              <w:rPr>
                <w:rFonts w:cs="宋体"/>
                <w:kern w:val="0"/>
                <w:sz w:val="15"/>
                <w:szCs w:val="15"/>
              </w:rPr>
            </w:pPr>
            <w:r>
              <w:rPr>
                <w:rFonts w:hint="eastAsia" w:cs="宋体"/>
                <w:kern w:val="0"/>
                <w:sz w:val="15"/>
                <w:szCs w:val="15"/>
              </w:rPr>
              <w:t>——</w:t>
            </w:r>
          </w:p>
        </w:tc>
        <w:tc>
          <w:tcPr>
            <w:tcW w:w="1954" w:type="dxa"/>
            <w:noWrap w:val="0"/>
            <w:vAlign w:val="center"/>
          </w:tcPr>
          <w:p w14:paraId="592E82C8">
            <w:pPr>
              <w:widowControl/>
              <w:snapToGrid w:val="0"/>
              <w:jc w:val="center"/>
              <w:rPr>
                <w:rFonts w:cs="宋体"/>
                <w:kern w:val="0"/>
                <w:sz w:val="15"/>
                <w:szCs w:val="15"/>
              </w:rPr>
            </w:pPr>
            <w:r>
              <w:rPr>
                <w:rFonts w:hint="eastAsia" w:cs="宋体"/>
                <w:kern w:val="0"/>
                <w:sz w:val="15"/>
                <w:szCs w:val="15"/>
              </w:rPr>
              <w:t>10</w:t>
            </w:r>
          </w:p>
        </w:tc>
        <w:tc>
          <w:tcPr>
            <w:tcW w:w="1513" w:type="dxa"/>
            <w:noWrap w:val="0"/>
            <w:vAlign w:val="center"/>
          </w:tcPr>
          <w:p w14:paraId="0C337FAA">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7A89FF7F">
            <w:pPr>
              <w:widowControl/>
              <w:snapToGrid w:val="0"/>
              <w:jc w:val="center"/>
              <w:rPr>
                <w:rFonts w:cs="宋体"/>
                <w:kern w:val="0"/>
                <w:sz w:val="15"/>
                <w:szCs w:val="15"/>
              </w:rPr>
            </w:pPr>
            <w:r>
              <w:rPr>
                <w:rFonts w:hint="eastAsia" w:cs="宋体"/>
                <w:kern w:val="0"/>
                <w:sz w:val="15"/>
                <w:szCs w:val="15"/>
              </w:rPr>
              <w:t>工信局、住建局</w:t>
            </w:r>
          </w:p>
        </w:tc>
      </w:tr>
      <w:tr w14:paraId="0D04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7A392C95">
            <w:pPr>
              <w:widowControl/>
              <w:snapToGrid w:val="0"/>
              <w:jc w:val="center"/>
              <w:rPr>
                <w:rFonts w:cs="宋体"/>
                <w:kern w:val="0"/>
                <w:sz w:val="15"/>
                <w:szCs w:val="15"/>
              </w:rPr>
            </w:pPr>
          </w:p>
        </w:tc>
        <w:tc>
          <w:tcPr>
            <w:tcW w:w="649" w:type="dxa"/>
            <w:vMerge w:val="continue"/>
            <w:noWrap w:val="0"/>
            <w:vAlign w:val="center"/>
          </w:tcPr>
          <w:p w14:paraId="62F89429">
            <w:pPr>
              <w:widowControl/>
              <w:snapToGrid w:val="0"/>
              <w:jc w:val="center"/>
              <w:rPr>
                <w:rFonts w:cs="宋体"/>
                <w:kern w:val="0"/>
                <w:sz w:val="15"/>
                <w:szCs w:val="15"/>
              </w:rPr>
            </w:pPr>
          </w:p>
        </w:tc>
        <w:tc>
          <w:tcPr>
            <w:tcW w:w="575" w:type="dxa"/>
            <w:vMerge w:val="continue"/>
            <w:noWrap w:val="0"/>
            <w:vAlign w:val="center"/>
          </w:tcPr>
          <w:p w14:paraId="2E6F37E5">
            <w:pPr>
              <w:widowControl/>
              <w:snapToGrid w:val="0"/>
              <w:jc w:val="center"/>
              <w:rPr>
                <w:rFonts w:cs="宋体"/>
                <w:kern w:val="0"/>
                <w:sz w:val="15"/>
                <w:szCs w:val="15"/>
              </w:rPr>
            </w:pPr>
          </w:p>
        </w:tc>
        <w:tc>
          <w:tcPr>
            <w:tcW w:w="3134" w:type="dxa"/>
            <w:noWrap w:val="0"/>
            <w:vAlign w:val="center"/>
          </w:tcPr>
          <w:p w14:paraId="2CBECAA2">
            <w:pPr>
              <w:widowControl/>
              <w:snapToGrid w:val="0"/>
              <w:jc w:val="center"/>
              <w:rPr>
                <w:rFonts w:cs="宋体"/>
                <w:kern w:val="0"/>
                <w:sz w:val="15"/>
                <w:szCs w:val="15"/>
              </w:rPr>
            </w:pPr>
            <w:r>
              <w:rPr>
                <w:rFonts w:hint="eastAsia" w:cs="宋体"/>
                <w:kern w:val="0"/>
                <w:sz w:val="15"/>
                <w:szCs w:val="15"/>
              </w:rPr>
              <w:t xml:space="preserve">       规模以上工业增加值  </w:t>
            </w:r>
          </w:p>
          <w:p w14:paraId="38236D96">
            <w:pPr>
              <w:widowControl/>
              <w:snapToGrid w:val="0"/>
              <w:jc w:val="center"/>
              <w:rPr>
                <w:rFonts w:cs="宋体"/>
                <w:kern w:val="0"/>
                <w:sz w:val="15"/>
                <w:szCs w:val="15"/>
              </w:rPr>
            </w:pPr>
            <w:r>
              <w:rPr>
                <w:rFonts w:hint="eastAsia" w:cs="宋体"/>
                <w:kern w:val="0"/>
                <w:sz w:val="15"/>
                <w:szCs w:val="15"/>
              </w:rPr>
              <w:t xml:space="preserve">   （2000万元口径）</w:t>
            </w:r>
          </w:p>
        </w:tc>
        <w:tc>
          <w:tcPr>
            <w:tcW w:w="1493" w:type="dxa"/>
            <w:noWrap w:val="0"/>
            <w:vAlign w:val="center"/>
          </w:tcPr>
          <w:p w14:paraId="1803E42E">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w:t>
            </w:r>
          </w:p>
        </w:tc>
        <w:tc>
          <w:tcPr>
            <w:tcW w:w="1014" w:type="dxa"/>
            <w:noWrap w:val="0"/>
            <w:vAlign w:val="center"/>
          </w:tcPr>
          <w:p w14:paraId="3C975055">
            <w:pPr>
              <w:widowControl/>
              <w:snapToGrid w:val="0"/>
              <w:jc w:val="center"/>
              <w:rPr>
                <w:rFonts w:cs="宋体"/>
                <w:kern w:val="0"/>
                <w:sz w:val="15"/>
                <w:szCs w:val="15"/>
              </w:rPr>
            </w:pPr>
            <w:r>
              <w:rPr>
                <w:rFonts w:hint="eastAsia" w:cs="宋体"/>
                <w:kern w:val="0"/>
                <w:sz w:val="15"/>
                <w:szCs w:val="15"/>
                <w:lang w:val="en-US" w:eastAsia="zh-CN"/>
              </w:rPr>
              <w:t>12.1</w:t>
            </w:r>
          </w:p>
        </w:tc>
        <w:tc>
          <w:tcPr>
            <w:tcW w:w="1301" w:type="dxa"/>
            <w:noWrap w:val="0"/>
            <w:vAlign w:val="center"/>
          </w:tcPr>
          <w:p w14:paraId="520E42D2">
            <w:pPr>
              <w:widowControl/>
              <w:snapToGrid w:val="0"/>
              <w:jc w:val="center"/>
              <w:rPr>
                <w:rFonts w:cs="宋体"/>
                <w:kern w:val="0"/>
                <w:sz w:val="15"/>
                <w:szCs w:val="15"/>
              </w:rPr>
            </w:pPr>
            <w:r>
              <w:rPr>
                <w:rFonts w:hint="eastAsia" w:cs="宋体"/>
                <w:kern w:val="0"/>
                <w:sz w:val="15"/>
                <w:szCs w:val="15"/>
              </w:rPr>
              <w:t>——</w:t>
            </w:r>
          </w:p>
        </w:tc>
        <w:tc>
          <w:tcPr>
            <w:tcW w:w="1954" w:type="dxa"/>
            <w:noWrap w:val="0"/>
            <w:vAlign w:val="center"/>
          </w:tcPr>
          <w:p w14:paraId="025012BB">
            <w:pPr>
              <w:widowControl/>
              <w:snapToGrid w:val="0"/>
              <w:jc w:val="center"/>
              <w:rPr>
                <w:rFonts w:cs="宋体"/>
                <w:kern w:val="0"/>
                <w:sz w:val="15"/>
                <w:szCs w:val="15"/>
              </w:rPr>
            </w:pPr>
            <w:r>
              <w:rPr>
                <w:rFonts w:hint="eastAsia" w:cs="宋体"/>
                <w:kern w:val="0"/>
                <w:sz w:val="15"/>
                <w:szCs w:val="15"/>
              </w:rPr>
              <w:t>10</w:t>
            </w:r>
            <w:r>
              <w:rPr>
                <w:rFonts w:hint="eastAsia" w:ascii="等线" w:hAnsi="等线" w:eastAsia="等线" w:cs="宋体"/>
                <w:kern w:val="0"/>
                <w:sz w:val="15"/>
                <w:szCs w:val="15"/>
                <w:lang w:val="en-US" w:eastAsia="zh-CN"/>
              </w:rPr>
              <w:t>以上</w:t>
            </w:r>
          </w:p>
        </w:tc>
        <w:tc>
          <w:tcPr>
            <w:tcW w:w="1513" w:type="dxa"/>
            <w:noWrap w:val="0"/>
            <w:vAlign w:val="center"/>
          </w:tcPr>
          <w:p w14:paraId="5676367B">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51FBD363">
            <w:pPr>
              <w:widowControl/>
              <w:snapToGrid w:val="0"/>
              <w:jc w:val="center"/>
              <w:rPr>
                <w:rFonts w:cs="宋体"/>
                <w:kern w:val="0"/>
                <w:sz w:val="15"/>
                <w:szCs w:val="15"/>
              </w:rPr>
            </w:pPr>
            <w:r>
              <w:rPr>
                <w:rFonts w:hint="eastAsia" w:cs="宋体"/>
                <w:kern w:val="0"/>
                <w:sz w:val="15"/>
                <w:szCs w:val="15"/>
              </w:rPr>
              <w:t>工信局</w:t>
            </w:r>
          </w:p>
        </w:tc>
      </w:tr>
      <w:tr w14:paraId="048E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1A98EA48">
            <w:pPr>
              <w:widowControl/>
              <w:snapToGrid w:val="0"/>
              <w:jc w:val="center"/>
              <w:rPr>
                <w:rFonts w:cs="宋体"/>
                <w:kern w:val="0"/>
                <w:sz w:val="15"/>
                <w:szCs w:val="15"/>
              </w:rPr>
            </w:pPr>
          </w:p>
        </w:tc>
        <w:tc>
          <w:tcPr>
            <w:tcW w:w="649" w:type="dxa"/>
            <w:vMerge w:val="continue"/>
            <w:noWrap w:val="0"/>
            <w:vAlign w:val="center"/>
          </w:tcPr>
          <w:p w14:paraId="7E3223B2">
            <w:pPr>
              <w:widowControl/>
              <w:snapToGrid w:val="0"/>
              <w:jc w:val="center"/>
              <w:rPr>
                <w:rFonts w:cs="宋体"/>
                <w:kern w:val="0"/>
                <w:sz w:val="15"/>
                <w:szCs w:val="15"/>
              </w:rPr>
            </w:pPr>
          </w:p>
        </w:tc>
        <w:tc>
          <w:tcPr>
            <w:tcW w:w="575" w:type="dxa"/>
            <w:noWrap w:val="0"/>
            <w:vAlign w:val="center"/>
          </w:tcPr>
          <w:p w14:paraId="58386E05">
            <w:pPr>
              <w:widowControl/>
              <w:snapToGrid w:val="0"/>
              <w:jc w:val="center"/>
              <w:rPr>
                <w:rFonts w:cs="宋体"/>
                <w:kern w:val="0"/>
                <w:sz w:val="15"/>
                <w:szCs w:val="15"/>
              </w:rPr>
            </w:pPr>
            <w:r>
              <w:rPr>
                <w:rFonts w:hint="eastAsia" w:cs="宋体"/>
                <w:kern w:val="0"/>
                <w:sz w:val="15"/>
                <w:szCs w:val="15"/>
              </w:rPr>
              <w:t>4</w:t>
            </w:r>
          </w:p>
        </w:tc>
        <w:tc>
          <w:tcPr>
            <w:tcW w:w="3134" w:type="dxa"/>
            <w:noWrap w:val="0"/>
            <w:vAlign w:val="center"/>
          </w:tcPr>
          <w:p w14:paraId="70E58FB2">
            <w:pPr>
              <w:widowControl/>
              <w:snapToGrid w:val="0"/>
              <w:ind w:firstLine="300" w:firstLineChars="200"/>
              <w:jc w:val="left"/>
              <w:rPr>
                <w:rFonts w:cs="宋体"/>
                <w:kern w:val="0"/>
                <w:sz w:val="15"/>
                <w:szCs w:val="15"/>
              </w:rPr>
            </w:pPr>
            <w:r>
              <w:rPr>
                <w:rFonts w:hint="eastAsia" w:cs="宋体"/>
                <w:kern w:val="0"/>
                <w:sz w:val="15"/>
                <w:szCs w:val="15"/>
              </w:rPr>
              <w:t>#第三产业（亿元）</w:t>
            </w:r>
          </w:p>
        </w:tc>
        <w:tc>
          <w:tcPr>
            <w:tcW w:w="1493" w:type="dxa"/>
            <w:noWrap w:val="0"/>
            <w:vAlign w:val="center"/>
          </w:tcPr>
          <w:p w14:paraId="22081AC7">
            <w:pPr>
              <w:widowControl/>
              <w:snapToGrid w:val="0"/>
              <w:jc w:val="center"/>
              <w:rPr>
                <w:rFonts w:cs="宋体"/>
                <w:kern w:val="0"/>
                <w:sz w:val="15"/>
                <w:szCs w:val="15"/>
              </w:rPr>
            </w:pPr>
            <w:r>
              <w:rPr>
                <w:rFonts w:hint="eastAsia" w:cs="宋体"/>
                <w:kern w:val="0"/>
                <w:sz w:val="15"/>
                <w:szCs w:val="15"/>
                <w:lang w:val="en-US" w:eastAsia="zh-CN"/>
              </w:rPr>
              <w:t>79.13</w:t>
            </w:r>
          </w:p>
        </w:tc>
        <w:tc>
          <w:tcPr>
            <w:tcW w:w="1014" w:type="dxa"/>
            <w:noWrap w:val="0"/>
            <w:vAlign w:val="center"/>
          </w:tcPr>
          <w:p w14:paraId="4ECE5CCE">
            <w:pPr>
              <w:widowControl/>
              <w:snapToGrid w:val="0"/>
              <w:jc w:val="center"/>
              <w:rPr>
                <w:rFonts w:cs="宋体"/>
                <w:kern w:val="0"/>
                <w:sz w:val="15"/>
                <w:szCs w:val="15"/>
              </w:rPr>
            </w:pPr>
            <w:r>
              <w:rPr>
                <w:rFonts w:hint="eastAsia" w:cs="宋体"/>
                <w:kern w:val="0"/>
                <w:sz w:val="15"/>
                <w:szCs w:val="15"/>
              </w:rPr>
              <w:t>10.</w:t>
            </w:r>
            <w:r>
              <w:rPr>
                <w:rFonts w:hint="eastAsia" w:cs="宋体"/>
                <w:kern w:val="0"/>
                <w:sz w:val="15"/>
                <w:szCs w:val="15"/>
                <w:lang w:val="en-US" w:eastAsia="zh-CN"/>
              </w:rPr>
              <w:t>6</w:t>
            </w:r>
          </w:p>
        </w:tc>
        <w:tc>
          <w:tcPr>
            <w:tcW w:w="1301" w:type="dxa"/>
            <w:noWrap w:val="0"/>
            <w:vAlign w:val="center"/>
          </w:tcPr>
          <w:p w14:paraId="4AC3E364">
            <w:pPr>
              <w:widowControl/>
              <w:snapToGrid w:val="0"/>
              <w:jc w:val="center"/>
              <w:rPr>
                <w:rFonts w:cs="宋体"/>
                <w:kern w:val="0"/>
                <w:sz w:val="15"/>
                <w:szCs w:val="15"/>
              </w:rPr>
            </w:pPr>
            <w:r>
              <w:rPr>
                <w:rFonts w:hint="eastAsia" w:cs="宋体"/>
                <w:kern w:val="0"/>
                <w:sz w:val="15"/>
                <w:szCs w:val="15"/>
              </w:rPr>
              <w:t>——</w:t>
            </w:r>
          </w:p>
        </w:tc>
        <w:tc>
          <w:tcPr>
            <w:tcW w:w="1954" w:type="dxa"/>
            <w:noWrap w:val="0"/>
            <w:vAlign w:val="center"/>
          </w:tcPr>
          <w:p w14:paraId="59FD3E36">
            <w:pPr>
              <w:widowControl/>
              <w:snapToGrid w:val="0"/>
              <w:jc w:val="center"/>
              <w:rPr>
                <w:rFonts w:cs="宋体"/>
                <w:kern w:val="0"/>
                <w:sz w:val="15"/>
                <w:szCs w:val="15"/>
              </w:rPr>
            </w:pPr>
            <w:r>
              <w:rPr>
                <w:rFonts w:hint="eastAsia" w:cs="宋体"/>
                <w:kern w:val="0"/>
                <w:sz w:val="15"/>
                <w:szCs w:val="15"/>
              </w:rPr>
              <w:t>10.</w:t>
            </w:r>
            <w:r>
              <w:rPr>
                <w:rFonts w:hint="eastAsia" w:cs="宋体"/>
                <w:kern w:val="0"/>
                <w:sz w:val="15"/>
                <w:szCs w:val="15"/>
                <w:lang w:val="en-US" w:eastAsia="zh-CN"/>
              </w:rPr>
              <w:t>2</w:t>
            </w:r>
          </w:p>
        </w:tc>
        <w:tc>
          <w:tcPr>
            <w:tcW w:w="1513" w:type="dxa"/>
            <w:noWrap w:val="0"/>
            <w:vAlign w:val="center"/>
          </w:tcPr>
          <w:p w14:paraId="37268398">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0A321E5E">
            <w:pPr>
              <w:widowControl/>
              <w:snapToGrid w:val="0"/>
              <w:jc w:val="center"/>
              <w:rPr>
                <w:rFonts w:cs="宋体"/>
                <w:kern w:val="0"/>
                <w:sz w:val="15"/>
                <w:szCs w:val="15"/>
              </w:rPr>
            </w:pPr>
            <w:r>
              <w:rPr>
                <w:rFonts w:hint="eastAsia" w:cs="宋体"/>
                <w:kern w:val="0"/>
                <w:sz w:val="15"/>
                <w:szCs w:val="15"/>
              </w:rPr>
              <w:t>商务局</w:t>
            </w:r>
          </w:p>
        </w:tc>
      </w:tr>
      <w:tr w14:paraId="35B2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43" w:type="dxa"/>
            <w:vMerge w:val="continue"/>
            <w:noWrap w:val="0"/>
            <w:vAlign w:val="center"/>
          </w:tcPr>
          <w:p w14:paraId="42A2E481">
            <w:pPr>
              <w:widowControl/>
              <w:snapToGrid w:val="0"/>
              <w:jc w:val="center"/>
              <w:rPr>
                <w:rFonts w:cs="宋体"/>
                <w:kern w:val="0"/>
                <w:sz w:val="15"/>
                <w:szCs w:val="15"/>
              </w:rPr>
            </w:pPr>
          </w:p>
        </w:tc>
        <w:tc>
          <w:tcPr>
            <w:tcW w:w="649" w:type="dxa"/>
            <w:vMerge w:val="continue"/>
            <w:noWrap w:val="0"/>
            <w:vAlign w:val="center"/>
          </w:tcPr>
          <w:p w14:paraId="4A89C2AE">
            <w:pPr>
              <w:widowControl/>
              <w:snapToGrid w:val="0"/>
              <w:jc w:val="center"/>
              <w:rPr>
                <w:rFonts w:cs="宋体"/>
                <w:kern w:val="0"/>
                <w:sz w:val="15"/>
                <w:szCs w:val="15"/>
              </w:rPr>
            </w:pPr>
          </w:p>
        </w:tc>
        <w:tc>
          <w:tcPr>
            <w:tcW w:w="575" w:type="dxa"/>
            <w:noWrap w:val="0"/>
            <w:vAlign w:val="center"/>
          </w:tcPr>
          <w:p w14:paraId="2E3C2CE4">
            <w:pPr>
              <w:widowControl/>
              <w:snapToGrid w:val="0"/>
              <w:jc w:val="center"/>
              <w:rPr>
                <w:rFonts w:cs="宋体"/>
                <w:kern w:val="0"/>
                <w:sz w:val="15"/>
                <w:szCs w:val="15"/>
              </w:rPr>
            </w:pPr>
            <w:r>
              <w:rPr>
                <w:rFonts w:cs="宋体"/>
                <w:kern w:val="0"/>
                <w:sz w:val="15"/>
                <w:szCs w:val="15"/>
              </w:rPr>
              <w:t>5</w:t>
            </w:r>
          </w:p>
        </w:tc>
        <w:tc>
          <w:tcPr>
            <w:tcW w:w="3134" w:type="dxa"/>
            <w:noWrap w:val="0"/>
            <w:vAlign w:val="center"/>
          </w:tcPr>
          <w:p w14:paraId="231D051D">
            <w:pPr>
              <w:widowControl/>
              <w:snapToGrid w:val="0"/>
              <w:jc w:val="left"/>
              <w:rPr>
                <w:rFonts w:cs="宋体"/>
                <w:kern w:val="0"/>
                <w:sz w:val="15"/>
                <w:szCs w:val="15"/>
              </w:rPr>
            </w:pPr>
            <w:r>
              <w:rPr>
                <w:rFonts w:hint="eastAsia" w:cs="宋体"/>
                <w:kern w:val="0"/>
                <w:sz w:val="15"/>
                <w:szCs w:val="15"/>
              </w:rPr>
              <w:t>固定资产投资（亿元）（500万口径）</w:t>
            </w:r>
          </w:p>
        </w:tc>
        <w:tc>
          <w:tcPr>
            <w:tcW w:w="1493" w:type="dxa"/>
            <w:noWrap w:val="0"/>
            <w:vAlign w:val="center"/>
          </w:tcPr>
          <w:p w14:paraId="7F36BB4D">
            <w:pPr>
              <w:widowControl/>
              <w:snapToGrid w:val="0"/>
              <w:jc w:val="center"/>
              <w:rPr>
                <w:rFonts w:cs="宋体"/>
                <w:kern w:val="0"/>
                <w:sz w:val="15"/>
                <w:szCs w:val="15"/>
              </w:rPr>
            </w:pPr>
            <w:r>
              <w:rPr>
                <w:rFonts w:hint="eastAsia" w:cs="宋体"/>
                <w:kern w:val="0"/>
                <w:sz w:val="15"/>
                <w:szCs w:val="15"/>
              </w:rPr>
              <w:t>——</w:t>
            </w:r>
          </w:p>
        </w:tc>
        <w:tc>
          <w:tcPr>
            <w:tcW w:w="1014" w:type="dxa"/>
            <w:noWrap w:val="0"/>
            <w:vAlign w:val="center"/>
          </w:tcPr>
          <w:p w14:paraId="1E095B64">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14</w:t>
            </w:r>
          </w:p>
        </w:tc>
        <w:tc>
          <w:tcPr>
            <w:tcW w:w="1301" w:type="dxa"/>
            <w:noWrap w:val="0"/>
            <w:vAlign w:val="center"/>
          </w:tcPr>
          <w:p w14:paraId="0851AD8F">
            <w:pPr>
              <w:widowControl/>
              <w:snapToGrid w:val="0"/>
              <w:jc w:val="center"/>
              <w:rPr>
                <w:rFonts w:cs="宋体"/>
                <w:kern w:val="0"/>
                <w:sz w:val="15"/>
                <w:szCs w:val="15"/>
              </w:rPr>
            </w:pPr>
            <w:r>
              <w:rPr>
                <w:rFonts w:hint="eastAsia" w:cs="宋体"/>
                <w:kern w:val="0"/>
                <w:sz w:val="15"/>
                <w:szCs w:val="15"/>
              </w:rPr>
              <w:t>——</w:t>
            </w:r>
          </w:p>
        </w:tc>
        <w:tc>
          <w:tcPr>
            <w:tcW w:w="1954" w:type="dxa"/>
            <w:noWrap w:val="0"/>
            <w:vAlign w:val="center"/>
          </w:tcPr>
          <w:p w14:paraId="65A900C6">
            <w:pPr>
              <w:widowControl/>
              <w:snapToGrid w:val="0"/>
              <w:jc w:val="center"/>
              <w:rPr>
                <w:rFonts w:cs="宋体"/>
                <w:kern w:val="0"/>
                <w:sz w:val="15"/>
                <w:szCs w:val="15"/>
              </w:rPr>
            </w:pPr>
            <w:r>
              <w:rPr>
                <w:rFonts w:hint="eastAsia" w:cs="宋体"/>
                <w:kern w:val="0"/>
                <w:sz w:val="15"/>
                <w:szCs w:val="15"/>
              </w:rPr>
              <w:t>10</w:t>
            </w:r>
          </w:p>
        </w:tc>
        <w:tc>
          <w:tcPr>
            <w:tcW w:w="1513" w:type="dxa"/>
            <w:noWrap w:val="0"/>
            <w:vAlign w:val="center"/>
          </w:tcPr>
          <w:p w14:paraId="60FA4A66">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72DC9D70">
            <w:pPr>
              <w:widowControl/>
              <w:snapToGrid w:val="0"/>
              <w:jc w:val="center"/>
              <w:rPr>
                <w:rFonts w:cs="宋体"/>
                <w:kern w:val="0"/>
                <w:sz w:val="15"/>
                <w:szCs w:val="15"/>
              </w:rPr>
            </w:pPr>
            <w:r>
              <w:rPr>
                <w:rFonts w:hint="eastAsia" w:cs="宋体"/>
                <w:kern w:val="0"/>
                <w:sz w:val="15"/>
                <w:szCs w:val="15"/>
              </w:rPr>
              <w:t>发改局</w:t>
            </w:r>
          </w:p>
        </w:tc>
      </w:tr>
      <w:tr w14:paraId="052B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5B317CC0">
            <w:pPr>
              <w:widowControl/>
              <w:snapToGrid w:val="0"/>
              <w:jc w:val="center"/>
              <w:rPr>
                <w:rFonts w:cs="宋体"/>
                <w:kern w:val="0"/>
                <w:sz w:val="15"/>
                <w:szCs w:val="15"/>
              </w:rPr>
            </w:pPr>
          </w:p>
        </w:tc>
        <w:tc>
          <w:tcPr>
            <w:tcW w:w="649" w:type="dxa"/>
            <w:vMerge w:val="continue"/>
            <w:noWrap w:val="0"/>
            <w:vAlign w:val="center"/>
          </w:tcPr>
          <w:p w14:paraId="409CE11C">
            <w:pPr>
              <w:widowControl/>
              <w:snapToGrid w:val="0"/>
              <w:jc w:val="center"/>
              <w:rPr>
                <w:rFonts w:cs="宋体"/>
                <w:kern w:val="0"/>
                <w:sz w:val="15"/>
                <w:szCs w:val="15"/>
              </w:rPr>
            </w:pPr>
          </w:p>
        </w:tc>
        <w:tc>
          <w:tcPr>
            <w:tcW w:w="575" w:type="dxa"/>
            <w:noWrap w:val="0"/>
            <w:vAlign w:val="center"/>
          </w:tcPr>
          <w:p w14:paraId="59BF5547">
            <w:pPr>
              <w:widowControl/>
              <w:snapToGrid w:val="0"/>
              <w:jc w:val="center"/>
              <w:rPr>
                <w:rFonts w:cs="宋体"/>
                <w:kern w:val="0"/>
                <w:sz w:val="15"/>
                <w:szCs w:val="15"/>
              </w:rPr>
            </w:pPr>
            <w:r>
              <w:rPr>
                <w:rFonts w:cs="宋体"/>
                <w:kern w:val="0"/>
                <w:sz w:val="15"/>
                <w:szCs w:val="15"/>
              </w:rPr>
              <w:t>6</w:t>
            </w:r>
          </w:p>
        </w:tc>
        <w:tc>
          <w:tcPr>
            <w:tcW w:w="3134" w:type="dxa"/>
            <w:noWrap w:val="0"/>
            <w:vAlign w:val="center"/>
          </w:tcPr>
          <w:p w14:paraId="038D9D97">
            <w:pPr>
              <w:widowControl/>
              <w:snapToGrid w:val="0"/>
              <w:jc w:val="left"/>
              <w:rPr>
                <w:rFonts w:cs="宋体"/>
                <w:kern w:val="0"/>
                <w:sz w:val="15"/>
                <w:szCs w:val="15"/>
              </w:rPr>
            </w:pPr>
            <w:r>
              <w:rPr>
                <w:rFonts w:hint="eastAsia" w:cs="宋体"/>
                <w:kern w:val="0"/>
                <w:sz w:val="15"/>
                <w:szCs w:val="15"/>
              </w:rPr>
              <w:t>社会消费品零售总额（亿元）</w:t>
            </w:r>
          </w:p>
        </w:tc>
        <w:tc>
          <w:tcPr>
            <w:tcW w:w="1493" w:type="dxa"/>
            <w:noWrap w:val="0"/>
            <w:vAlign w:val="center"/>
          </w:tcPr>
          <w:p w14:paraId="05712CF8">
            <w:pPr>
              <w:widowControl/>
              <w:snapToGrid w:val="0"/>
              <w:jc w:val="center"/>
              <w:rPr>
                <w:rFonts w:hint="default" w:eastAsia="等线" w:cs="宋体"/>
                <w:kern w:val="0"/>
                <w:sz w:val="15"/>
                <w:szCs w:val="15"/>
                <w:lang w:val="en-US" w:eastAsia="zh-CN"/>
              </w:rPr>
            </w:pPr>
            <w:r>
              <w:rPr>
                <w:rFonts w:hint="eastAsia" w:cs="宋体"/>
                <w:kern w:val="0"/>
                <w:sz w:val="15"/>
                <w:szCs w:val="15"/>
              </w:rPr>
              <w:t>3</w:t>
            </w:r>
            <w:r>
              <w:rPr>
                <w:rFonts w:hint="eastAsia" w:cs="宋体"/>
                <w:kern w:val="0"/>
                <w:sz w:val="15"/>
                <w:szCs w:val="15"/>
                <w:lang w:val="en-US" w:eastAsia="zh-CN"/>
              </w:rPr>
              <w:t>7.9</w:t>
            </w:r>
          </w:p>
        </w:tc>
        <w:tc>
          <w:tcPr>
            <w:tcW w:w="1014" w:type="dxa"/>
            <w:noWrap w:val="0"/>
            <w:vAlign w:val="center"/>
          </w:tcPr>
          <w:p w14:paraId="0B5798E7">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5.6</w:t>
            </w:r>
          </w:p>
        </w:tc>
        <w:tc>
          <w:tcPr>
            <w:tcW w:w="1301" w:type="dxa"/>
            <w:noWrap w:val="0"/>
            <w:vAlign w:val="center"/>
          </w:tcPr>
          <w:p w14:paraId="6BCC7F63">
            <w:pPr>
              <w:widowControl/>
              <w:snapToGrid w:val="0"/>
              <w:jc w:val="center"/>
              <w:rPr>
                <w:rFonts w:cs="宋体"/>
                <w:kern w:val="0"/>
                <w:sz w:val="15"/>
                <w:szCs w:val="15"/>
              </w:rPr>
            </w:pPr>
            <w:r>
              <w:rPr>
                <w:rFonts w:hint="eastAsia" w:cs="宋体"/>
                <w:kern w:val="0"/>
                <w:sz w:val="15"/>
                <w:szCs w:val="15"/>
              </w:rPr>
              <w:t>——</w:t>
            </w:r>
          </w:p>
        </w:tc>
        <w:tc>
          <w:tcPr>
            <w:tcW w:w="1954" w:type="dxa"/>
            <w:noWrap w:val="0"/>
            <w:vAlign w:val="center"/>
          </w:tcPr>
          <w:p w14:paraId="1234D41A">
            <w:pPr>
              <w:widowControl/>
              <w:snapToGrid w:val="0"/>
              <w:jc w:val="center"/>
              <w:rPr>
                <w:rFonts w:hint="default" w:eastAsia="等线" w:cs="宋体"/>
                <w:kern w:val="0"/>
                <w:sz w:val="15"/>
                <w:szCs w:val="15"/>
                <w:lang w:val="en-US" w:eastAsia="zh-CN"/>
              </w:rPr>
            </w:pPr>
            <w:r>
              <w:rPr>
                <w:rFonts w:hint="eastAsia" w:cs="宋体"/>
                <w:kern w:val="0"/>
                <w:sz w:val="15"/>
                <w:szCs w:val="15"/>
                <w:highlight w:val="none"/>
                <w:lang w:val="en-US" w:eastAsia="zh-CN"/>
              </w:rPr>
              <w:t>8以上</w:t>
            </w:r>
          </w:p>
        </w:tc>
        <w:tc>
          <w:tcPr>
            <w:tcW w:w="1513" w:type="dxa"/>
            <w:noWrap w:val="0"/>
            <w:vAlign w:val="center"/>
          </w:tcPr>
          <w:p w14:paraId="22EF298C">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6931E62B">
            <w:pPr>
              <w:widowControl/>
              <w:snapToGrid w:val="0"/>
              <w:jc w:val="center"/>
              <w:rPr>
                <w:rFonts w:cs="宋体"/>
                <w:kern w:val="0"/>
                <w:sz w:val="15"/>
                <w:szCs w:val="15"/>
              </w:rPr>
            </w:pPr>
            <w:r>
              <w:rPr>
                <w:rFonts w:hint="eastAsia" w:cs="宋体"/>
                <w:kern w:val="0"/>
                <w:sz w:val="15"/>
                <w:szCs w:val="15"/>
              </w:rPr>
              <w:t>商务局</w:t>
            </w:r>
          </w:p>
        </w:tc>
      </w:tr>
      <w:tr w14:paraId="513F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04228B03">
            <w:pPr>
              <w:widowControl/>
              <w:snapToGrid w:val="0"/>
              <w:jc w:val="center"/>
              <w:rPr>
                <w:rFonts w:cs="宋体"/>
                <w:kern w:val="0"/>
                <w:sz w:val="15"/>
                <w:szCs w:val="15"/>
              </w:rPr>
            </w:pPr>
          </w:p>
        </w:tc>
        <w:tc>
          <w:tcPr>
            <w:tcW w:w="649" w:type="dxa"/>
            <w:vMerge w:val="continue"/>
            <w:noWrap w:val="0"/>
            <w:vAlign w:val="center"/>
          </w:tcPr>
          <w:p w14:paraId="69DF653F">
            <w:pPr>
              <w:widowControl/>
              <w:snapToGrid w:val="0"/>
              <w:jc w:val="center"/>
              <w:rPr>
                <w:rFonts w:cs="宋体"/>
                <w:kern w:val="0"/>
                <w:sz w:val="15"/>
                <w:szCs w:val="15"/>
              </w:rPr>
            </w:pPr>
          </w:p>
        </w:tc>
        <w:tc>
          <w:tcPr>
            <w:tcW w:w="575" w:type="dxa"/>
            <w:noWrap w:val="0"/>
            <w:vAlign w:val="center"/>
          </w:tcPr>
          <w:p w14:paraId="2C8EABB0">
            <w:pPr>
              <w:widowControl/>
              <w:snapToGrid w:val="0"/>
              <w:jc w:val="center"/>
              <w:rPr>
                <w:rFonts w:cs="宋体"/>
                <w:kern w:val="0"/>
                <w:sz w:val="15"/>
                <w:szCs w:val="15"/>
              </w:rPr>
            </w:pPr>
            <w:r>
              <w:rPr>
                <w:rFonts w:cs="宋体"/>
                <w:kern w:val="0"/>
                <w:sz w:val="15"/>
                <w:szCs w:val="15"/>
              </w:rPr>
              <w:t>7</w:t>
            </w:r>
          </w:p>
        </w:tc>
        <w:tc>
          <w:tcPr>
            <w:tcW w:w="3134" w:type="dxa"/>
            <w:noWrap w:val="0"/>
            <w:vAlign w:val="center"/>
          </w:tcPr>
          <w:p w14:paraId="699932D3">
            <w:pPr>
              <w:widowControl/>
              <w:snapToGrid w:val="0"/>
              <w:jc w:val="left"/>
              <w:rPr>
                <w:rFonts w:cs="宋体"/>
                <w:kern w:val="0"/>
                <w:sz w:val="15"/>
                <w:szCs w:val="15"/>
              </w:rPr>
            </w:pPr>
            <w:r>
              <w:rPr>
                <w:rFonts w:hint="eastAsia" w:cs="宋体"/>
                <w:kern w:val="0"/>
                <w:sz w:val="15"/>
                <w:szCs w:val="15"/>
              </w:rPr>
              <w:t>一般公共预算收入（亿元）</w:t>
            </w:r>
          </w:p>
        </w:tc>
        <w:tc>
          <w:tcPr>
            <w:tcW w:w="1493" w:type="dxa"/>
            <w:noWrap w:val="0"/>
            <w:vAlign w:val="center"/>
          </w:tcPr>
          <w:p w14:paraId="56DBC363">
            <w:pPr>
              <w:widowControl/>
              <w:snapToGrid w:val="0"/>
              <w:jc w:val="center"/>
              <w:rPr>
                <w:rFonts w:hint="eastAsia" w:eastAsia="等线" w:cs="宋体"/>
                <w:kern w:val="0"/>
                <w:sz w:val="15"/>
                <w:szCs w:val="15"/>
                <w:lang w:val="en-US" w:eastAsia="zh-CN"/>
              </w:rPr>
            </w:pPr>
            <w:r>
              <w:rPr>
                <w:rFonts w:hint="eastAsia" w:cs="宋体"/>
                <w:kern w:val="0"/>
                <w:sz w:val="15"/>
                <w:szCs w:val="15"/>
              </w:rPr>
              <w:t>5.</w:t>
            </w:r>
            <w:r>
              <w:rPr>
                <w:rFonts w:cs="宋体"/>
                <w:kern w:val="0"/>
                <w:sz w:val="15"/>
                <w:szCs w:val="15"/>
              </w:rPr>
              <w:t>2</w:t>
            </w:r>
            <w:r>
              <w:rPr>
                <w:rFonts w:hint="eastAsia" w:cs="宋体"/>
                <w:kern w:val="0"/>
                <w:sz w:val="15"/>
                <w:szCs w:val="15"/>
                <w:lang w:val="en-US" w:eastAsia="zh-CN"/>
              </w:rPr>
              <w:t>1</w:t>
            </w:r>
          </w:p>
        </w:tc>
        <w:tc>
          <w:tcPr>
            <w:tcW w:w="1014" w:type="dxa"/>
            <w:noWrap w:val="0"/>
            <w:vAlign w:val="center"/>
          </w:tcPr>
          <w:p w14:paraId="4DAC035B">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7.5</w:t>
            </w:r>
          </w:p>
        </w:tc>
        <w:tc>
          <w:tcPr>
            <w:tcW w:w="1301" w:type="dxa"/>
            <w:noWrap w:val="0"/>
            <w:vAlign w:val="center"/>
          </w:tcPr>
          <w:p w14:paraId="011599DC">
            <w:pPr>
              <w:widowControl/>
              <w:snapToGrid w:val="0"/>
              <w:jc w:val="center"/>
              <w:rPr>
                <w:rFonts w:cs="宋体"/>
                <w:kern w:val="0"/>
                <w:sz w:val="15"/>
                <w:szCs w:val="15"/>
              </w:rPr>
            </w:pPr>
            <w:r>
              <w:rPr>
                <w:rFonts w:hint="eastAsia" w:cs="宋体"/>
                <w:kern w:val="0"/>
                <w:sz w:val="15"/>
                <w:szCs w:val="15"/>
              </w:rPr>
              <w:t>——</w:t>
            </w:r>
          </w:p>
        </w:tc>
        <w:tc>
          <w:tcPr>
            <w:tcW w:w="1954" w:type="dxa"/>
            <w:noWrap w:val="0"/>
            <w:vAlign w:val="center"/>
          </w:tcPr>
          <w:p w14:paraId="09467BD0">
            <w:pPr>
              <w:widowControl/>
              <w:snapToGrid w:val="0"/>
              <w:jc w:val="center"/>
              <w:rPr>
                <w:rFonts w:cs="宋体"/>
                <w:kern w:val="0"/>
                <w:sz w:val="15"/>
                <w:szCs w:val="15"/>
              </w:rPr>
            </w:pPr>
            <w:r>
              <w:rPr>
                <w:rFonts w:hint="eastAsia" w:cs="宋体"/>
                <w:kern w:val="0"/>
                <w:sz w:val="15"/>
                <w:szCs w:val="15"/>
              </w:rPr>
              <w:t>2</w:t>
            </w:r>
          </w:p>
        </w:tc>
        <w:tc>
          <w:tcPr>
            <w:tcW w:w="1513" w:type="dxa"/>
            <w:noWrap w:val="0"/>
            <w:vAlign w:val="center"/>
          </w:tcPr>
          <w:p w14:paraId="341266C1">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471B704B">
            <w:pPr>
              <w:widowControl/>
              <w:snapToGrid w:val="0"/>
              <w:jc w:val="center"/>
              <w:rPr>
                <w:rFonts w:cs="宋体"/>
                <w:kern w:val="0"/>
                <w:sz w:val="15"/>
                <w:szCs w:val="15"/>
              </w:rPr>
            </w:pPr>
            <w:r>
              <w:rPr>
                <w:rFonts w:hint="eastAsia" w:cs="宋体"/>
                <w:kern w:val="0"/>
                <w:sz w:val="15"/>
                <w:szCs w:val="15"/>
              </w:rPr>
              <w:t>财政局</w:t>
            </w:r>
          </w:p>
        </w:tc>
      </w:tr>
      <w:tr w14:paraId="5D2E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36A61C75">
            <w:pPr>
              <w:widowControl/>
              <w:snapToGrid w:val="0"/>
              <w:jc w:val="center"/>
              <w:rPr>
                <w:rFonts w:cs="宋体"/>
                <w:kern w:val="0"/>
                <w:sz w:val="15"/>
                <w:szCs w:val="15"/>
              </w:rPr>
            </w:pPr>
          </w:p>
        </w:tc>
        <w:tc>
          <w:tcPr>
            <w:tcW w:w="649" w:type="dxa"/>
            <w:vMerge w:val="continue"/>
            <w:noWrap w:val="0"/>
            <w:vAlign w:val="center"/>
          </w:tcPr>
          <w:p w14:paraId="0D67DA60">
            <w:pPr>
              <w:widowControl/>
              <w:snapToGrid w:val="0"/>
              <w:jc w:val="center"/>
              <w:rPr>
                <w:rFonts w:cs="宋体"/>
                <w:kern w:val="0"/>
                <w:sz w:val="15"/>
                <w:szCs w:val="15"/>
              </w:rPr>
            </w:pPr>
          </w:p>
        </w:tc>
        <w:tc>
          <w:tcPr>
            <w:tcW w:w="575" w:type="dxa"/>
            <w:noWrap w:val="0"/>
            <w:vAlign w:val="center"/>
          </w:tcPr>
          <w:p w14:paraId="6C98E30A">
            <w:pPr>
              <w:widowControl/>
              <w:snapToGrid w:val="0"/>
              <w:jc w:val="center"/>
              <w:rPr>
                <w:rFonts w:cs="宋体"/>
                <w:kern w:val="0"/>
                <w:sz w:val="15"/>
                <w:szCs w:val="15"/>
              </w:rPr>
            </w:pPr>
            <w:r>
              <w:rPr>
                <w:rFonts w:cs="宋体"/>
                <w:kern w:val="0"/>
                <w:sz w:val="15"/>
                <w:szCs w:val="15"/>
              </w:rPr>
              <w:t>8</w:t>
            </w:r>
          </w:p>
        </w:tc>
        <w:tc>
          <w:tcPr>
            <w:tcW w:w="3134" w:type="dxa"/>
            <w:noWrap w:val="0"/>
            <w:vAlign w:val="center"/>
          </w:tcPr>
          <w:p w14:paraId="6D167DE6">
            <w:pPr>
              <w:widowControl/>
              <w:snapToGrid w:val="0"/>
              <w:jc w:val="left"/>
              <w:rPr>
                <w:rFonts w:cs="宋体"/>
                <w:kern w:val="0"/>
                <w:sz w:val="15"/>
                <w:szCs w:val="15"/>
              </w:rPr>
            </w:pPr>
            <w:r>
              <w:rPr>
                <w:rFonts w:hint="eastAsia" w:cs="宋体"/>
                <w:kern w:val="0"/>
                <w:sz w:val="15"/>
                <w:szCs w:val="15"/>
              </w:rPr>
              <w:t>旅游总收入（万元）</w:t>
            </w:r>
          </w:p>
        </w:tc>
        <w:tc>
          <w:tcPr>
            <w:tcW w:w="1493" w:type="dxa"/>
            <w:noWrap w:val="0"/>
            <w:vAlign w:val="center"/>
          </w:tcPr>
          <w:p w14:paraId="22551A90">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48.82</w:t>
            </w:r>
          </w:p>
        </w:tc>
        <w:tc>
          <w:tcPr>
            <w:tcW w:w="1014" w:type="dxa"/>
            <w:noWrap w:val="0"/>
            <w:vAlign w:val="center"/>
          </w:tcPr>
          <w:p w14:paraId="74C56ECA">
            <w:pPr>
              <w:widowControl/>
              <w:snapToGrid w:val="0"/>
              <w:jc w:val="center"/>
              <w:rPr>
                <w:rFonts w:hint="eastAsia" w:eastAsia="等线" w:cs="宋体"/>
                <w:kern w:val="0"/>
                <w:sz w:val="15"/>
                <w:szCs w:val="15"/>
                <w:lang w:eastAsia="zh-CN"/>
              </w:rPr>
            </w:pPr>
            <w:r>
              <w:rPr>
                <w:rFonts w:hint="eastAsia" w:cs="宋体"/>
                <w:kern w:val="0"/>
                <w:sz w:val="15"/>
                <w:szCs w:val="15"/>
                <w:lang w:eastAsia="zh-CN"/>
              </w:rPr>
              <w:t>——</w:t>
            </w:r>
          </w:p>
        </w:tc>
        <w:tc>
          <w:tcPr>
            <w:tcW w:w="1301" w:type="dxa"/>
            <w:noWrap w:val="0"/>
            <w:vAlign w:val="center"/>
          </w:tcPr>
          <w:p w14:paraId="66FC08AC">
            <w:pPr>
              <w:widowControl/>
              <w:snapToGrid w:val="0"/>
              <w:jc w:val="center"/>
              <w:rPr>
                <w:rFonts w:cs="宋体"/>
                <w:kern w:val="0"/>
                <w:sz w:val="15"/>
                <w:szCs w:val="15"/>
              </w:rPr>
            </w:pPr>
          </w:p>
        </w:tc>
        <w:tc>
          <w:tcPr>
            <w:tcW w:w="1954" w:type="dxa"/>
            <w:noWrap w:val="0"/>
            <w:vAlign w:val="center"/>
          </w:tcPr>
          <w:p w14:paraId="0C31671A">
            <w:pPr>
              <w:widowControl/>
              <w:snapToGrid w:val="0"/>
              <w:jc w:val="center"/>
              <w:rPr>
                <w:rFonts w:cs="宋体"/>
                <w:kern w:val="0"/>
                <w:sz w:val="15"/>
                <w:szCs w:val="15"/>
              </w:rPr>
            </w:pPr>
            <w:r>
              <w:rPr>
                <w:rFonts w:hint="eastAsia" w:cs="宋体"/>
                <w:kern w:val="0"/>
                <w:sz w:val="15"/>
                <w:szCs w:val="15"/>
              </w:rPr>
              <w:t>15</w:t>
            </w:r>
          </w:p>
        </w:tc>
        <w:tc>
          <w:tcPr>
            <w:tcW w:w="1513" w:type="dxa"/>
            <w:noWrap w:val="0"/>
            <w:vAlign w:val="center"/>
          </w:tcPr>
          <w:p w14:paraId="5A72A0A6">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2BD76E4E">
            <w:pPr>
              <w:widowControl/>
              <w:snapToGrid w:val="0"/>
              <w:jc w:val="center"/>
              <w:rPr>
                <w:rFonts w:cs="宋体"/>
                <w:kern w:val="0"/>
                <w:sz w:val="15"/>
                <w:szCs w:val="15"/>
              </w:rPr>
            </w:pPr>
            <w:r>
              <w:rPr>
                <w:rFonts w:hint="eastAsia" w:cs="宋体"/>
                <w:kern w:val="0"/>
                <w:sz w:val="15"/>
                <w:szCs w:val="15"/>
              </w:rPr>
              <w:t>文旅局</w:t>
            </w:r>
          </w:p>
        </w:tc>
      </w:tr>
      <w:tr w14:paraId="3E45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4FAED8FF">
            <w:pPr>
              <w:widowControl/>
              <w:snapToGrid w:val="0"/>
              <w:jc w:val="center"/>
              <w:rPr>
                <w:rFonts w:cs="宋体"/>
                <w:kern w:val="0"/>
                <w:sz w:val="15"/>
                <w:szCs w:val="15"/>
              </w:rPr>
            </w:pPr>
          </w:p>
        </w:tc>
        <w:tc>
          <w:tcPr>
            <w:tcW w:w="649" w:type="dxa"/>
            <w:vMerge w:val="restart"/>
            <w:noWrap w:val="0"/>
            <w:vAlign w:val="center"/>
          </w:tcPr>
          <w:p w14:paraId="20257B5A">
            <w:pPr>
              <w:widowControl/>
              <w:snapToGrid w:val="0"/>
              <w:jc w:val="center"/>
              <w:rPr>
                <w:rFonts w:cs="宋体"/>
                <w:kern w:val="0"/>
                <w:sz w:val="15"/>
                <w:szCs w:val="15"/>
              </w:rPr>
            </w:pPr>
            <w:r>
              <w:rPr>
                <w:rFonts w:hint="eastAsia" w:cs="宋体"/>
                <w:kern w:val="0"/>
                <w:sz w:val="15"/>
                <w:szCs w:val="15"/>
              </w:rPr>
              <w:t>对外开放</w:t>
            </w:r>
          </w:p>
        </w:tc>
        <w:tc>
          <w:tcPr>
            <w:tcW w:w="575" w:type="dxa"/>
            <w:noWrap w:val="0"/>
            <w:vAlign w:val="center"/>
          </w:tcPr>
          <w:p w14:paraId="61FCA32C">
            <w:pPr>
              <w:widowControl/>
              <w:snapToGrid w:val="0"/>
              <w:jc w:val="center"/>
              <w:rPr>
                <w:rFonts w:cs="宋体"/>
                <w:kern w:val="0"/>
                <w:sz w:val="15"/>
                <w:szCs w:val="15"/>
              </w:rPr>
            </w:pPr>
            <w:r>
              <w:rPr>
                <w:rFonts w:cs="宋体"/>
                <w:kern w:val="0"/>
                <w:sz w:val="15"/>
                <w:szCs w:val="15"/>
              </w:rPr>
              <w:t>9</w:t>
            </w:r>
          </w:p>
        </w:tc>
        <w:tc>
          <w:tcPr>
            <w:tcW w:w="3134" w:type="dxa"/>
            <w:noWrap w:val="0"/>
            <w:vAlign w:val="center"/>
          </w:tcPr>
          <w:p w14:paraId="38CEF72C">
            <w:pPr>
              <w:widowControl/>
              <w:snapToGrid w:val="0"/>
              <w:jc w:val="left"/>
              <w:rPr>
                <w:rFonts w:cs="宋体"/>
                <w:kern w:val="0"/>
                <w:sz w:val="15"/>
                <w:szCs w:val="15"/>
              </w:rPr>
            </w:pPr>
            <w:r>
              <w:rPr>
                <w:rFonts w:hint="eastAsia" w:cs="宋体"/>
                <w:kern w:val="0"/>
                <w:sz w:val="15"/>
                <w:szCs w:val="15"/>
              </w:rPr>
              <w:t>外贸进出口总额（万美元）</w:t>
            </w:r>
          </w:p>
        </w:tc>
        <w:tc>
          <w:tcPr>
            <w:tcW w:w="1493" w:type="dxa"/>
            <w:noWrap w:val="0"/>
            <w:vAlign w:val="center"/>
          </w:tcPr>
          <w:p w14:paraId="108B737D">
            <w:pPr>
              <w:widowControl/>
              <w:snapToGrid w:val="0"/>
              <w:jc w:val="center"/>
              <w:rPr>
                <w:rFonts w:hint="default" w:eastAsia="等线" w:cs="宋体"/>
                <w:kern w:val="0"/>
                <w:sz w:val="15"/>
                <w:szCs w:val="15"/>
                <w:lang w:val="en-US" w:eastAsia="zh-CN"/>
              </w:rPr>
            </w:pPr>
            <w:r>
              <w:rPr>
                <w:rFonts w:hint="eastAsia" w:cs="宋体"/>
                <w:kern w:val="0"/>
                <w:sz w:val="15"/>
                <w:szCs w:val="15"/>
              </w:rPr>
              <w:t>240</w:t>
            </w:r>
            <w:r>
              <w:rPr>
                <w:rFonts w:hint="eastAsia" w:cs="宋体"/>
                <w:kern w:val="0"/>
                <w:sz w:val="15"/>
                <w:szCs w:val="15"/>
                <w:lang w:eastAsia="zh-CN"/>
              </w:rPr>
              <w:t>.</w:t>
            </w:r>
            <w:r>
              <w:rPr>
                <w:rFonts w:hint="eastAsia" w:cs="宋体"/>
                <w:kern w:val="0"/>
                <w:sz w:val="15"/>
                <w:szCs w:val="15"/>
                <w:lang w:val="en-US" w:eastAsia="zh-CN"/>
              </w:rPr>
              <w:t>9</w:t>
            </w:r>
          </w:p>
        </w:tc>
        <w:tc>
          <w:tcPr>
            <w:tcW w:w="1014" w:type="dxa"/>
            <w:noWrap w:val="0"/>
            <w:vAlign w:val="center"/>
          </w:tcPr>
          <w:p w14:paraId="26031533">
            <w:pPr>
              <w:widowControl/>
              <w:snapToGrid w:val="0"/>
              <w:jc w:val="center"/>
              <w:rPr>
                <w:rFonts w:hint="eastAsia" w:eastAsia="等线" w:cs="宋体"/>
                <w:kern w:val="0"/>
                <w:sz w:val="15"/>
                <w:szCs w:val="15"/>
                <w:lang w:eastAsia="zh-CN"/>
              </w:rPr>
            </w:pPr>
            <w:r>
              <w:rPr>
                <w:rFonts w:hint="eastAsia" w:cs="宋体"/>
                <w:kern w:val="0"/>
                <w:sz w:val="15"/>
                <w:szCs w:val="15"/>
                <w:lang w:eastAsia="zh-CN"/>
              </w:rPr>
              <w:t>——</w:t>
            </w:r>
          </w:p>
        </w:tc>
        <w:tc>
          <w:tcPr>
            <w:tcW w:w="1301" w:type="dxa"/>
            <w:noWrap w:val="0"/>
            <w:vAlign w:val="center"/>
          </w:tcPr>
          <w:p w14:paraId="50F5E218">
            <w:pPr>
              <w:widowControl/>
              <w:snapToGrid w:val="0"/>
              <w:jc w:val="center"/>
              <w:rPr>
                <w:rFonts w:cs="宋体"/>
                <w:kern w:val="0"/>
                <w:sz w:val="15"/>
                <w:szCs w:val="15"/>
              </w:rPr>
            </w:pPr>
            <w:r>
              <w:rPr>
                <w:rFonts w:hint="eastAsia" w:cs="宋体"/>
                <w:kern w:val="0"/>
                <w:sz w:val="15"/>
                <w:szCs w:val="15"/>
              </w:rPr>
              <w:t>——</w:t>
            </w:r>
          </w:p>
        </w:tc>
        <w:tc>
          <w:tcPr>
            <w:tcW w:w="1954" w:type="dxa"/>
            <w:noWrap w:val="0"/>
            <w:vAlign w:val="center"/>
          </w:tcPr>
          <w:p w14:paraId="6497F1DC">
            <w:pPr>
              <w:widowControl/>
              <w:snapToGrid w:val="0"/>
              <w:jc w:val="center"/>
              <w:rPr>
                <w:rFonts w:cs="宋体"/>
                <w:kern w:val="0"/>
                <w:sz w:val="15"/>
                <w:szCs w:val="15"/>
              </w:rPr>
            </w:pPr>
            <w:r>
              <w:rPr>
                <w:rFonts w:hint="eastAsia" w:cs="宋体"/>
                <w:kern w:val="0"/>
                <w:sz w:val="15"/>
                <w:szCs w:val="15"/>
              </w:rPr>
              <w:t>10</w:t>
            </w:r>
          </w:p>
        </w:tc>
        <w:tc>
          <w:tcPr>
            <w:tcW w:w="1513" w:type="dxa"/>
            <w:noWrap w:val="0"/>
            <w:vAlign w:val="center"/>
          </w:tcPr>
          <w:p w14:paraId="67341DFE">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37569647">
            <w:pPr>
              <w:widowControl/>
              <w:snapToGrid w:val="0"/>
              <w:jc w:val="center"/>
              <w:rPr>
                <w:rFonts w:cs="宋体"/>
                <w:kern w:val="0"/>
                <w:sz w:val="15"/>
                <w:szCs w:val="15"/>
              </w:rPr>
            </w:pPr>
            <w:r>
              <w:rPr>
                <w:rFonts w:hint="eastAsia" w:cs="宋体"/>
                <w:kern w:val="0"/>
                <w:sz w:val="15"/>
                <w:szCs w:val="15"/>
              </w:rPr>
              <w:t>商务局</w:t>
            </w:r>
          </w:p>
        </w:tc>
      </w:tr>
      <w:tr w14:paraId="0F67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43" w:type="dxa"/>
            <w:vMerge w:val="continue"/>
            <w:noWrap w:val="0"/>
            <w:vAlign w:val="center"/>
          </w:tcPr>
          <w:p w14:paraId="251462FC">
            <w:pPr>
              <w:widowControl/>
              <w:snapToGrid w:val="0"/>
              <w:jc w:val="center"/>
              <w:rPr>
                <w:rFonts w:cs="宋体"/>
                <w:kern w:val="0"/>
                <w:sz w:val="15"/>
                <w:szCs w:val="15"/>
              </w:rPr>
            </w:pPr>
          </w:p>
        </w:tc>
        <w:tc>
          <w:tcPr>
            <w:tcW w:w="649" w:type="dxa"/>
            <w:vMerge w:val="continue"/>
            <w:noWrap w:val="0"/>
            <w:vAlign w:val="center"/>
          </w:tcPr>
          <w:p w14:paraId="55FF282E">
            <w:pPr>
              <w:widowControl/>
              <w:snapToGrid w:val="0"/>
              <w:jc w:val="center"/>
              <w:rPr>
                <w:rFonts w:cs="宋体"/>
                <w:kern w:val="0"/>
                <w:sz w:val="15"/>
                <w:szCs w:val="15"/>
              </w:rPr>
            </w:pPr>
          </w:p>
        </w:tc>
        <w:tc>
          <w:tcPr>
            <w:tcW w:w="575" w:type="dxa"/>
            <w:noWrap w:val="0"/>
            <w:vAlign w:val="center"/>
          </w:tcPr>
          <w:p w14:paraId="44921930">
            <w:pPr>
              <w:widowControl/>
              <w:snapToGrid w:val="0"/>
              <w:jc w:val="center"/>
              <w:rPr>
                <w:rFonts w:cs="宋体"/>
                <w:kern w:val="0"/>
                <w:sz w:val="15"/>
                <w:szCs w:val="15"/>
              </w:rPr>
            </w:pPr>
            <w:r>
              <w:rPr>
                <w:rFonts w:cs="宋体"/>
                <w:kern w:val="0"/>
                <w:sz w:val="15"/>
                <w:szCs w:val="15"/>
              </w:rPr>
              <w:t>10</w:t>
            </w:r>
          </w:p>
        </w:tc>
        <w:tc>
          <w:tcPr>
            <w:tcW w:w="3134" w:type="dxa"/>
            <w:noWrap w:val="0"/>
            <w:vAlign w:val="center"/>
          </w:tcPr>
          <w:p w14:paraId="5654B1EB">
            <w:pPr>
              <w:widowControl/>
              <w:snapToGrid w:val="0"/>
              <w:jc w:val="left"/>
              <w:rPr>
                <w:rFonts w:cs="宋体"/>
                <w:kern w:val="0"/>
                <w:sz w:val="15"/>
                <w:szCs w:val="15"/>
              </w:rPr>
            </w:pPr>
            <w:r>
              <w:rPr>
                <w:rFonts w:hint="eastAsia" w:cs="宋体"/>
                <w:kern w:val="0"/>
                <w:sz w:val="15"/>
                <w:szCs w:val="15"/>
              </w:rPr>
              <w:t>新引进产业项目到位资金（亿元）</w:t>
            </w:r>
          </w:p>
        </w:tc>
        <w:tc>
          <w:tcPr>
            <w:tcW w:w="1493" w:type="dxa"/>
            <w:noWrap w:val="0"/>
            <w:vAlign w:val="center"/>
          </w:tcPr>
          <w:p w14:paraId="77EBA828">
            <w:pPr>
              <w:widowControl/>
              <w:snapToGrid w:val="0"/>
              <w:jc w:val="center"/>
              <w:rPr>
                <w:rFonts w:hint="default" w:eastAsia="等线" w:cs="宋体"/>
                <w:kern w:val="0"/>
                <w:sz w:val="15"/>
                <w:szCs w:val="15"/>
                <w:lang w:val="en-US" w:eastAsia="zh-CN"/>
              </w:rPr>
            </w:pPr>
            <w:r>
              <w:rPr>
                <w:rFonts w:hint="eastAsia" w:cs="宋体"/>
                <w:kern w:val="0"/>
                <w:sz w:val="15"/>
                <w:szCs w:val="15"/>
              </w:rPr>
              <w:t>8</w:t>
            </w:r>
            <w:r>
              <w:rPr>
                <w:rFonts w:hint="eastAsia" w:cs="宋体"/>
                <w:kern w:val="0"/>
                <w:sz w:val="15"/>
                <w:szCs w:val="15"/>
                <w:lang w:val="en-US" w:eastAsia="zh-CN"/>
              </w:rPr>
              <w:t>0.31</w:t>
            </w:r>
          </w:p>
        </w:tc>
        <w:tc>
          <w:tcPr>
            <w:tcW w:w="1014" w:type="dxa"/>
            <w:noWrap w:val="0"/>
            <w:vAlign w:val="center"/>
          </w:tcPr>
          <w:p w14:paraId="72A96FD8">
            <w:pPr>
              <w:widowControl/>
              <w:snapToGrid w:val="0"/>
              <w:jc w:val="center"/>
              <w:rPr>
                <w:rFonts w:cs="宋体"/>
                <w:kern w:val="0"/>
                <w:sz w:val="15"/>
                <w:szCs w:val="15"/>
              </w:rPr>
            </w:pPr>
            <w:r>
              <w:rPr>
                <w:rFonts w:hint="eastAsia" w:cs="宋体"/>
                <w:kern w:val="0"/>
                <w:sz w:val="15"/>
                <w:szCs w:val="15"/>
              </w:rPr>
              <w:t>1</w:t>
            </w:r>
            <w:r>
              <w:rPr>
                <w:rFonts w:cs="宋体"/>
                <w:kern w:val="0"/>
                <w:sz w:val="15"/>
                <w:szCs w:val="15"/>
              </w:rPr>
              <w:t>2</w:t>
            </w:r>
          </w:p>
        </w:tc>
        <w:tc>
          <w:tcPr>
            <w:tcW w:w="1301" w:type="dxa"/>
            <w:noWrap w:val="0"/>
            <w:vAlign w:val="center"/>
          </w:tcPr>
          <w:p w14:paraId="0E7B8B52">
            <w:pPr>
              <w:widowControl/>
              <w:snapToGrid w:val="0"/>
              <w:jc w:val="center"/>
              <w:rPr>
                <w:rFonts w:cs="宋体"/>
                <w:kern w:val="0"/>
                <w:sz w:val="15"/>
                <w:szCs w:val="15"/>
              </w:rPr>
            </w:pPr>
            <w:r>
              <w:rPr>
                <w:rFonts w:hint="eastAsia" w:cs="宋体"/>
                <w:kern w:val="0"/>
                <w:sz w:val="15"/>
                <w:szCs w:val="15"/>
              </w:rPr>
              <w:t>129</w:t>
            </w:r>
          </w:p>
        </w:tc>
        <w:tc>
          <w:tcPr>
            <w:tcW w:w="1954" w:type="dxa"/>
            <w:noWrap w:val="0"/>
            <w:vAlign w:val="center"/>
          </w:tcPr>
          <w:p w14:paraId="5AA3996E">
            <w:pPr>
              <w:widowControl/>
              <w:snapToGrid w:val="0"/>
              <w:jc w:val="center"/>
              <w:rPr>
                <w:rFonts w:cs="宋体"/>
                <w:kern w:val="0"/>
                <w:sz w:val="15"/>
                <w:szCs w:val="15"/>
              </w:rPr>
            </w:pPr>
            <w:r>
              <w:rPr>
                <w:rFonts w:hint="eastAsia" w:cs="宋体"/>
                <w:kern w:val="0"/>
                <w:sz w:val="15"/>
                <w:szCs w:val="15"/>
              </w:rPr>
              <w:t>10</w:t>
            </w:r>
          </w:p>
        </w:tc>
        <w:tc>
          <w:tcPr>
            <w:tcW w:w="1513" w:type="dxa"/>
            <w:noWrap w:val="0"/>
            <w:vAlign w:val="center"/>
          </w:tcPr>
          <w:p w14:paraId="5E579031">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2B279299">
            <w:pPr>
              <w:widowControl/>
              <w:snapToGrid w:val="0"/>
              <w:jc w:val="center"/>
              <w:rPr>
                <w:rFonts w:cs="宋体"/>
                <w:kern w:val="0"/>
                <w:sz w:val="15"/>
                <w:szCs w:val="15"/>
              </w:rPr>
            </w:pPr>
            <w:r>
              <w:rPr>
                <w:rFonts w:hint="eastAsia" w:cs="宋体"/>
                <w:kern w:val="0"/>
                <w:sz w:val="15"/>
                <w:szCs w:val="15"/>
              </w:rPr>
              <w:t>投促局</w:t>
            </w:r>
          </w:p>
        </w:tc>
      </w:tr>
      <w:tr w14:paraId="01D2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41B6501A">
            <w:pPr>
              <w:widowControl/>
              <w:snapToGrid w:val="0"/>
              <w:jc w:val="center"/>
              <w:rPr>
                <w:rFonts w:cs="宋体"/>
                <w:kern w:val="0"/>
                <w:sz w:val="15"/>
                <w:szCs w:val="15"/>
              </w:rPr>
            </w:pPr>
          </w:p>
        </w:tc>
        <w:tc>
          <w:tcPr>
            <w:tcW w:w="649" w:type="dxa"/>
            <w:vMerge w:val="continue"/>
            <w:noWrap w:val="0"/>
            <w:vAlign w:val="center"/>
          </w:tcPr>
          <w:p w14:paraId="40A2ACCF">
            <w:pPr>
              <w:widowControl/>
              <w:snapToGrid w:val="0"/>
              <w:jc w:val="center"/>
              <w:rPr>
                <w:rFonts w:cs="宋体"/>
                <w:kern w:val="0"/>
                <w:sz w:val="15"/>
                <w:szCs w:val="15"/>
              </w:rPr>
            </w:pPr>
          </w:p>
        </w:tc>
        <w:tc>
          <w:tcPr>
            <w:tcW w:w="575" w:type="dxa"/>
            <w:noWrap w:val="0"/>
            <w:vAlign w:val="center"/>
          </w:tcPr>
          <w:p w14:paraId="27A61F3F">
            <w:pPr>
              <w:widowControl/>
              <w:snapToGrid w:val="0"/>
              <w:jc w:val="center"/>
              <w:rPr>
                <w:rFonts w:cs="宋体"/>
                <w:kern w:val="0"/>
                <w:sz w:val="15"/>
                <w:szCs w:val="15"/>
              </w:rPr>
            </w:pPr>
            <w:r>
              <w:rPr>
                <w:rFonts w:hint="eastAsia" w:cs="宋体"/>
                <w:kern w:val="0"/>
                <w:sz w:val="15"/>
                <w:szCs w:val="15"/>
              </w:rPr>
              <w:t>1</w:t>
            </w:r>
            <w:r>
              <w:rPr>
                <w:rFonts w:cs="宋体"/>
                <w:kern w:val="0"/>
                <w:sz w:val="15"/>
                <w:szCs w:val="15"/>
              </w:rPr>
              <w:t>1</w:t>
            </w:r>
          </w:p>
        </w:tc>
        <w:tc>
          <w:tcPr>
            <w:tcW w:w="3134" w:type="dxa"/>
            <w:noWrap w:val="0"/>
            <w:vAlign w:val="center"/>
          </w:tcPr>
          <w:p w14:paraId="453A275E">
            <w:pPr>
              <w:widowControl/>
              <w:snapToGrid w:val="0"/>
              <w:jc w:val="left"/>
              <w:rPr>
                <w:rFonts w:cs="宋体"/>
                <w:kern w:val="0"/>
                <w:sz w:val="15"/>
                <w:szCs w:val="15"/>
              </w:rPr>
            </w:pPr>
            <w:r>
              <w:rPr>
                <w:rFonts w:hint="eastAsia" w:cs="宋体"/>
                <w:kern w:val="0"/>
                <w:sz w:val="15"/>
                <w:szCs w:val="15"/>
              </w:rPr>
              <w:t>实际利用外资（万美元）</w:t>
            </w:r>
          </w:p>
        </w:tc>
        <w:tc>
          <w:tcPr>
            <w:tcW w:w="1493" w:type="dxa"/>
            <w:noWrap w:val="0"/>
            <w:vAlign w:val="center"/>
          </w:tcPr>
          <w:p w14:paraId="02B32456">
            <w:pPr>
              <w:widowControl/>
              <w:snapToGrid w:val="0"/>
              <w:jc w:val="center"/>
              <w:rPr>
                <w:rFonts w:cs="宋体"/>
                <w:kern w:val="0"/>
                <w:sz w:val="15"/>
                <w:szCs w:val="15"/>
              </w:rPr>
            </w:pPr>
            <w:r>
              <w:rPr>
                <w:rFonts w:hint="eastAsia" w:cs="宋体"/>
                <w:kern w:val="0"/>
                <w:sz w:val="15"/>
                <w:szCs w:val="15"/>
              </w:rPr>
              <w:t>5500</w:t>
            </w:r>
          </w:p>
        </w:tc>
        <w:tc>
          <w:tcPr>
            <w:tcW w:w="1014" w:type="dxa"/>
            <w:noWrap w:val="0"/>
            <w:vAlign w:val="center"/>
          </w:tcPr>
          <w:p w14:paraId="1114E717">
            <w:pPr>
              <w:widowControl/>
              <w:snapToGrid w:val="0"/>
              <w:jc w:val="center"/>
              <w:rPr>
                <w:rFonts w:cs="宋体"/>
                <w:kern w:val="0"/>
                <w:sz w:val="15"/>
                <w:szCs w:val="15"/>
              </w:rPr>
            </w:pPr>
            <w:r>
              <w:rPr>
                <w:rFonts w:hint="eastAsia" w:cs="宋体"/>
                <w:kern w:val="0"/>
                <w:sz w:val="15"/>
                <w:szCs w:val="15"/>
              </w:rPr>
              <w:t>3.8</w:t>
            </w:r>
          </w:p>
        </w:tc>
        <w:tc>
          <w:tcPr>
            <w:tcW w:w="1301" w:type="dxa"/>
            <w:noWrap w:val="0"/>
            <w:vAlign w:val="center"/>
          </w:tcPr>
          <w:p w14:paraId="2DC1A264">
            <w:pPr>
              <w:widowControl/>
              <w:snapToGrid w:val="0"/>
              <w:jc w:val="center"/>
              <w:rPr>
                <w:rFonts w:cs="宋体"/>
                <w:kern w:val="0"/>
                <w:sz w:val="15"/>
                <w:szCs w:val="15"/>
              </w:rPr>
            </w:pPr>
            <w:r>
              <w:rPr>
                <w:rFonts w:hint="eastAsia" w:cs="宋体"/>
                <w:kern w:val="0"/>
                <w:sz w:val="15"/>
                <w:szCs w:val="15"/>
              </w:rPr>
              <w:t>——</w:t>
            </w:r>
          </w:p>
        </w:tc>
        <w:tc>
          <w:tcPr>
            <w:tcW w:w="1954" w:type="dxa"/>
            <w:noWrap w:val="0"/>
            <w:vAlign w:val="center"/>
          </w:tcPr>
          <w:p w14:paraId="77F76458">
            <w:pPr>
              <w:widowControl/>
              <w:snapToGrid w:val="0"/>
              <w:jc w:val="center"/>
              <w:rPr>
                <w:rFonts w:hint="eastAsia" w:eastAsia="等线" w:cs="宋体"/>
                <w:kern w:val="0"/>
                <w:sz w:val="15"/>
                <w:szCs w:val="15"/>
                <w:lang w:eastAsia="zh-CN"/>
              </w:rPr>
            </w:pPr>
            <w:r>
              <w:rPr>
                <w:rFonts w:hint="eastAsia" w:cs="宋体"/>
                <w:kern w:val="0"/>
                <w:sz w:val="15"/>
                <w:szCs w:val="15"/>
                <w:highlight w:val="none"/>
                <w:lang w:val="en-US" w:eastAsia="zh-CN"/>
              </w:rPr>
              <w:t>5</w:t>
            </w:r>
          </w:p>
        </w:tc>
        <w:tc>
          <w:tcPr>
            <w:tcW w:w="1513" w:type="dxa"/>
            <w:noWrap w:val="0"/>
            <w:vAlign w:val="center"/>
          </w:tcPr>
          <w:p w14:paraId="19FEFEB7">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6B11DC0A">
            <w:pPr>
              <w:widowControl/>
              <w:snapToGrid w:val="0"/>
              <w:jc w:val="center"/>
              <w:rPr>
                <w:rFonts w:cs="宋体"/>
                <w:kern w:val="0"/>
                <w:sz w:val="15"/>
                <w:szCs w:val="15"/>
              </w:rPr>
            </w:pPr>
            <w:r>
              <w:rPr>
                <w:rFonts w:hint="eastAsia" w:cs="宋体"/>
                <w:kern w:val="0"/>
                <w:sz w:val="15"/>
                <w:szCs w:val="15"/>
              </w:rPr>
              <w:t>商务局</w:t>
            </w:r>
          </w:p>
        </w:tc>
      </w:tr>
      <w:tr w14:paraId="6C9E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43" w:type="dxa"/>
            <w:vMerge w:val="continue"/>
            <w:noWrap w:val="0"/>
            <w:vAlign w:val="center"/>
          </w:tcPr>
          <w:p w14:paraId="058D9E39">
            <w:pPr>
              <w:widowControl/>
              <w:snapToGrid w:val="0"/>
              <w:jc w:val="center"/>
              <w:rPr>
                <w:rFonts w:cs="宋体"/>
                <w:kern w:val="0"/>
                <w:sz w:val="15"/>
                <w:szCs w:val="15"/>
              </w:rPr>
            </w:pPr>
          </w:p>
        </w:tc>
        <w:tc>
          <w:tcPr>
            <w:tcW w:w="649" w:type="dxa"/>
            <w:vMerge w:val="restart"/>
            <w:noWrap w:val="0"/>
            <w:vAlign w:val="center"/>
          </w:tcPr>
          <w:p w14:paraId="637915E8">
            <w:pPr>
              <w:widowControl/>
              <w:snapToGrid w:val="0"/>
              <w:jc w:val="center"/>
              <w:rPr>
                <w:rFonts w:cs="宋体"/>
                <w:kern w:val="0"/>
                <w:sz w:val="15"/>
                <w:szCs w:val="15"/>
              </w:rPr>
            </w:pPr>
            <w:r>
              <w:rPr>
                <w:rFonts w:hint="eastAsia" w:cs="宋体"/>
                <w:kern w:val="0"/>
                <w:sz w:val="15"/>
                <w:szCs w:val="15"/>
              </w:rPr>
              <w:t>人口</w:t>
            </w:r>
          </w:p>
        </w:tc>
        <w:tc>
          <w:tcPr>
            <w:tcW w:w="575" w:type="dxa"/>
            <w:noWrap w:val="0"/>
            <w:vAlign w:val="center"/>
          </w:tcPr>
          <w:p w14:paraId="05F40F14">
            <w:pPr>
              <w:widowControl/>
              <w:snapToGrid w:val="0"/>
              <w:jc w:val="center"/>
              <w:rPr>
                <w:rFonts w:cs="宋体"/>
                <w:kern w:val="0"/>
                <w:sz w:val="15"/>
                <w:szCs w:val="15"/>
              </w:rPr>
            </w:pPr>
            <w:r>
              <w:rPr>
                <w:rFonts w:hint="eastAsia" w:cs="宋体"/>
                <w:kern w:val="0"/>
                <w:sz w:val="15"/>
                <w:szCs w:val="15"/>
              </w:rPr>
              <w:t>1</w:t>
            </w:r>
            <w:r>
              <w:rPr>
                <w:rFonts w:cs="宋体"/>
                <w:kern w:val="0"/>
                <w:sz w:val="15"/>
                <w:szCs w:val="15"/>
              </w:rPr>
              <w:t>2</w:t>
            </w:r>
          </w:p>
        </w:tc>
        <w:tc>
          <w:tcPr>
            <w:tcW w:w="3134" w:type="dxa"/>
            <w:noWrap w:val="0"/>
            <w:vAlign w:val="center"/>
          </w:tcPr>
          <w:p w14:paraId="5BEF808E">
            <w:pPr>
              <w:widowControl/>
              <w:snapToGrid w:val="0"/>
              <w:jc w:val="left"/>
              <w:rPr>
                <w:rFonts w:cs="宋体"/>
                <w:kern w:val="0"/>
                <w:sz w:val="15"/>
                <w:szCs w:val="15"/>
              </w:rPr>
            </w:pPr>
            <w:r>
              <w:rPr>
                <w:rFonts w:hint="eastAsia" w:cs="宋体"/>
                <w:kern w:val="0"/>
                <w:sz w:val="15"/>
                <w:szCs w:val="15"/>
              </w:rPr>
              <w:t>常住总人口（万人）</w:t>
            </w:r>
          </w:p>
        </w:tc>
        <w:tc>
          <w:tcPr>
            <w:tcW w:w="1493" w:type="dxa"/>
            <w:noWrap w:val="0"/>
            <w:vAlign w:val="center"/>
          </w:tcPr>
          <w:p w14:paraId="455BC8B6">
            <w:pPr>
              <w:widowControl/>
              <w:snapToGrid w:val="0"/>
              <w:jc w:val="center"/>
              <w:rPr>
                <w:rFonts w:cs="宋体"/>
                <w:kern w:val="0"/>
                <w:sz w:val="15"/>
                <w:szCs w:val="15"/>
              </w:rPr>
            </w:pPr>
            <w:r>
              <w:rPr>
                <w:rFonts w:hint="eastAsia" w:cs="宋体"/>
                <w:kern w:val="0"/>
                <w:sz w:val="15"/>
                <w:szCs w:val="15"/>
              </w:rPr>
              <w:t>22.</w:t>
            </w:r>
            <w:r>
              <w:rPr>
                <w:rFonts w:hint="eastAsia" w:cs="宋体"/>
                <w:kern w:val="0"/>
                <w:sz w:val="15"/>
                <w:szCs w:val="15"/>
                <w:lang w:val="en-US" w:eastAsia="zh-CN"/>
              </w:rPr>
              <w:t>36</w:t>
            </w:r>
          </w:p>
        </w:tc>
        <w:tc>
          <w:tcPr>
            <w:tcW w:w="1014" w:type="dxa"/>
            <w:noWrap w:val="0"/>
            <w:vAlign w:val="center"/>
          </w:tcPr>
          <w:p w14:paraId="6D4A05F9">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4845CE8F">
            <w:pPr>
              <w:widowControl/>
              <w:snapToGrid w:val="0"/>
              <w:jc w:val="center"/>
              <w:rPr>
                <w:rFonts w:cs="宋体"/>
                <w:kern w:val="0"/>
                <w:sz w:val="15"/>
                <w:szCs w:val="15"/>
              </w:rPr>
            </w:pPr>
            <w:r>
              <w:rPr>
                <w:rFonts w:hint="eastAsia" w:cs="宋体"/>
                <w:kern w:val="0"/>
                <w:sz w:val="15"/>
                <w:szCs w:val="15"/>
              </w:rPr>
              <w:t>28</w:t>
            </w:r>
          </w:p>
        </w:tc>
        <w:tc>
          <w:tcPr>
            <w:tcW w:w="1954" w:type="dxa"/>
            <w:noWrap w:val="0"/>
            <w:vAlign w:val="center"/>
          </w:tcPr>
          <w:p w14:paraId="4F81B133">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20CE8A49">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473A33E0">
            <w:pPr>
              <w:widowControl/>
              <w:snapToGrid w:val="0"/>
              <w:jc w:val="center"/>
              <w:rPr>
                <w:rFonts w:cs="宋体"/>
                <w:kern w:val="0"/>
                <w:sz w:val="15"/>
                <w:szCs w:val="15"/>
              </w:rPr>
            </w:pPr>
            <w:r>
              <w:rPr>
                <w:rFonts w:hint="eastAsia" w:cs="宋体"/>
                <w:kern w:val="0"/>
                <w:sz w:val="15"/>
                <w:szCs w:val="15"/>
              </w:rPr>
              <w:t>住建局</w:t>
            </w:r>
          </w:p>
        </w:tc>
      </w:tr>
      <w:tr w14:paraId="33B7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43" w:type="dxa"/>
            <w:vMerge w:val="continue"/>
            <w:noWrap w:val="0"/>
            <w:vAlign w:val="center"/>
          </w:tcPr>
          <w:p w14:paraId="2CCBAA52">
            <w:pPr>
              <w:widowControl/>
              <w:snapToGrid w:val="0"/>
              <w:jc w:val="center"/>
              <w:rPr>
                <w:rFonts w:cs="宋体"/>
                <w:kern w:val="0"/>
                <w:sz w:val="15"/>
                <w:szCs w:val="15"/>
              </w:rPr>
            </w:pPr>
          </w:p>
        </w:tc>
        <w:tc>
          <w:tcPr>
            <w:tcW w:w="649" w:type="dxa"/>
            <w:vMerge w:val="continue"/>
            <w:noWrap w:val="0"/>
            <w:vAlign w:val="center"/>
          </w:tcPr>
          <w:p w14:paraId="7C8F6044">
            <w:pPr>
              <w:widowControl/>
              <w:snapToGrid w:val="0"/>
              <w:jc w:val="center"/>
              <w:rPr>
                <w:rFonts w:cs="宋体"/>
                <w:kern w:val="0"/>
                <w:sz w:val="15"/>
                <w:szCs w:val="15"/>
              </w:rPr>
            </w:pPr>
          </w:p>
        </w:tc>
        <w:tc>
          <w:tcPr>
            <w:tcW w:w="575" w:type="dxa"/>
            <w:noWrap w:val="0"/>
            <w:vAlign w:val="center"/>
          </w:tcPr>
          <w:p w14:paraId="11FEBC9D">
            <w:pPr>
              <w:widowControl/>
              <w:snapToGrid w:val="0"/>
              <w:jc w:val="center"/>
              <w:rPr>
                <w:rFonts w:cs="宋体"/>
                <w:kern w:val="0"/>
                <w:sz w:val="15"/>
                <w:szCs w:val="15"/>
              </w:rPr>
            </w:pPr>
            <w:r>
              <w:rPr>
                <w:rFonts w:hint="eastAsia" w:cs="宋体"/>
                <w:kern w:val="0"/>
                <w:sz w:val="15"/>
                <w:szCs w:val="15"/>
              </w:rPr>
              <w:t>1</w:t>
            </w:r>
            <w:r>
              <w:rPr>
                <w:rFonts w:cs="宋体"/>
                <w:kern w:val="0"/>
                <w:sz w:val="15"/>
                <w:szCs w:val="15"/>
              </w:rPr>
              <w:t>3</w:t>
            </w:r>
          </w:p>
        </w:tc>
        <w:tc>
          <w:tcPr>
            <w:tcW w:w="3134" w:type="dxa"/>
            <w:noWrap w:val="0"/>
            <w:vAlign w:val="center"/>
          </w:tcPr>
          <w:p w14:paraId="546A1B58">
            <w:pPr>
              <w:widowControl/>
              <w:snapToGrid w:val="0"/>
              <w:jc w:val="left"/>
              <w:rPr>
                <w:rFonts w:cs="宋体"/>
                <w:color w:val="000000"/>
                <w:kern w:val="0"/>
                <w:sz w:val="15"/>
                <w:szCs w:val="15"/>
              </w:rPr>
            </w:pPr>
            <w:r>
              <w:rPr>
                <w:rFonts w:hint="eastAsia" w:cs="宋体"/>
                <w:color w:val="000000"/>
                <w:kern w:val="0"/>
                <w:sz w:val="15"/>
                <w:szCs w:val="15"/>
              </w:rPr>
              <w:t>常住人口城镇化率（%）</w:t>
            </w:r>
          </w:p>
        </w:tc>
        <w:tc>
          <w:tcPr>
            <w:tcW w:w="1493" w:type="dxa"/>
            <w:noWrap w:val="0"/>
            <w:vAlign w:val="center"/>
          </w:tcPr>
          <w:p w14:paraId="6C61A50C">
            <w:pPr>
              <w:widowControl/>
              <w:snapToGrid w:val="0"/>
              <w:jc w:val="center"/>
              <w:rPr>
                <w:rFonts w:cs="宋体"/>
                <w:color w:val="000000"/>
                <w:kern w:val="0"/>
                <w:sz w:val="15"/>
                <w:szCs w:val="15"/>
              </w:rPr>
            </w:pPr>
            <w:r>
              <w:rPr>
                <w:rFonts w:hint="eastAsia" w:cs="宋体"/>
                <w:color w:val="000000"/>
                <w:kern w:val="0"/>
                <w:sz w:val="15"/>
                <w:szCs w:val="15"/>
              </w:rPr>
              <w:t>51.57</w:t>
            </w:r>
          </w:p>
        </w:tc>
        <w:tc>
          <w:tcPr>
            <w:tcW w:w="1014" w:type="dxa"/>
            <w:noWrap w:val="0"/>
            <w:vAlign w:val="center"/>
          </w:tcPr>
          <w:p w14:paraId="1D86CCB7">
            <w:pPr>
              <w:widowControl/>
              <w:snapToGrid w:val="0"/>
              <w:jc w:val="center"/>
              <w:rPr>
                <w:rFonts w:cs="宋体"/>
                <w:color w:val="000000"/>
                <w:kern w:val="0"/>
                <w:sz w:val="15"/>
                <w:szCs w:val="15"/>
              </w:rPr>
            </w:pPr>
            <w:r>
              <w:rPr>
                <w:rFonts w:hint="eastAsia" w:cs="宋体"/>
                <w:color w:val="000000"/>
                <w:kern w:val="0"/>
                <w:sz w:val="15"/>
                <w:szCs w:val="15"/>
              </w:rPr>
              <w:t>——</w:t>
            </w:r>
          </w:p>
        </w:tc>
        <w:tc>
          <w:tcPr>
            <w:tcW w:w="1301" w:type="dxa"/>
            <w:noWrap w:val="0"/>
            <w:vAlign w:val="center"/>
          </w:tcPr>
          <w:p w14:paraId="04A108AF">
            <w:pPr>
              <w:widowControl/>
              <w:snapToGrid w:val="0"/>
              <w:jc w:val="center"/>
              <w:rPr>
                <w:rFonts w:cs="宋体"/>
                <w:color w:val="000000"/>
                <w:kern w:val="0"/>
                <w:sz w:val="15"/>
                <w:szCs w:val="15"/>
              </w:rPr>
            </w:pPr>
            <w:r>
              <w:rPr>
                <w:rFonts w:hint="eastAsia" w:cs="宋体"/>
                <w:color w:val="000000"/>
                <w:kern w:val="0"/>
                <w:sz w:val="15"/>
                <w:szCs w:val="15"/>
              </w:rPr>
              <w:t>58</w:t>
            </w:r>
          </w:p>
        </w:tc>
        <w:tc>
          <w:tcPr>
            <w:tcW w:w="1954" w:type="dxa"/>
            <w:noWrap w:val="0"/>
            <w:vAlign w:val="center"/>
          </w:tcPr>
          <w:p w14:paraId="2839C2CC">
            <w:pPr>
              <w:widowControl/>
              <w:snapToGrid w:val="0"/>
              <w:jc w:val="center"/>
              <w:rPr>
                <w:rFonts w:cs="宋体"/>
                <w:color w:val="000000"/>
                <w:kern w:val="0"/>
                <w:sz w:val="15"/>
                <w:szCs w:val="15"/>
              </w:rPr>
            </w:pPr>
            <w:r>
              <w:rPr>
                <w:rFonts w:hint="eastAsia" w:cs="宋体"/>
                <w:color w:val="000000"/>
                <w:kern w:val="0"/>
                <w:sz w:val="15"/>
                <w:szCs w:val="15"/>
              </w:rPr>
              <w:t>——</w:t>
            </w:r>
          </w:p>
        </w:tc>
        <w:tc>
          <w:tcPr>
            <w:tcW w:w="1513" w:type="dxa"/>
            <w:noWrap w:val="0"/>
            <w:vAlign w:val="center"/>
          </w:tcPr>
          <w:p w14:paraId="79F6CF26">
            <w:pPr>
              <w:widowControl/>
              <w:snapToGrid w:val="0"/>
              <w:jc w:val="center"/>
              <w:rPr>
                <w:rFonts w:cs="宋体"/>
                <w:color w:val="000000"/>
                <w:kern w:val="0"/>
                <w:sz w:val="15"/>
                <w:szCs w:val="15"/>
              </w:rPr>
            </w:pPr>
            <w:r>
              <w:rPr>
                <w:rFonts w:hint="eastAsia" w:cs="宋体"/>
                <w:color w:val="000000"/>
                <w:kern w:val="0"/>
                <w:sz w:val="15"/>
                <w:szCs w:val="15"/>
              </w:rPr>
              <w:t>预期性</w:t>
            </w:r>
          </w:p>
        </w:tc>
        <w:tc>
          <w:tcPr>
            <w:tcW w:w="1762" w:type="dxa"/>
            <w:noWrap w:val="0"/>
            <w:vAlign w:val="center"/>
          </w:tcPr>
          <w:p w14:paraId="4ED99CAA">
            <w:pPr>
              <w:widowControl/>
              <w:snapToGrid w:val="0"/>
              <w:jc w:val="center"/>
              <w:rPr>
                <w:rFonts w:cs="宋体"/>
                <w:color w:val="000000"/>
                <w:kern w:val="0"/>
                <w:sz w:val="15"/>
                <w:szCs w:val="15"/>
              </w:rPr>
            </w:pPr>
            <w:r>
              <w:rPr>
                <w:rFonts w:hint="eastAsia" w:cs="宋体"/>
                <w:color w:val="000000"/>
                <w:kern w:val="0"/>
                <w:sz w:val="15"/>
                <w:szCs w:val="15"/>
              </w:rPr>
              <w:t>发改局</w:t>
            </w:r>
          </w:p>
        </w:tc>
      </w:tr>
      <w:tr w14:paraId="74FD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restart"/>
            <w:noWrap w:val="0"/>
            <w:vAlign w:val="center"/>
          </w:tcPr>
          <w:p w14:paraId="0B845A71">
            <w:pPr>
              <w:widowControl/>
              <w:snapToGrid w:val="0"/>
              <w:jc w:val="center"/>
              <w:rPr>
                <w:rFonts w:cs="宋体"/>
                <w:kern w:val="0"/>
                <w:sz w:val="15"/>
                <w:szCs w:val="15"/>
              </w:rPr>
            </w:pPr>
            <w:r>
              <w:rPr>
                <w:rFonts w:hint="eastAsia" w:cs="宋体"/>
                <w:kern w:val="0"/>
                <w:sz w:val="15"/>
                <w:szCs w:val="15"/>
              </w:rPr>
              <w:t>创新驱动</w:t>
            </w:r>
          </w:p>
        </w:tc>
        <w:tc>
          <w:tcPr>
            <w:tcW w:w="649" w:type="dxa"/>
            <w:vMerge w:val="restart"/>
            <w:noWrap w:val="0"/>
            <w:vAlign w:val="center"/>
          </w:tcPr>
          <w:p w14:paraId="0ACDD433">
            <w:pPr>
              <w:widowControl/>
              <w:snapToGrid w:val="0"/>
              <w:jc w:val="center"/>
              <w:rPr>
                <w:rFonts w:cs="宋体"/>
                <w:kern w:val="0"/>
                <w:sz w:val="15"/>
                <w:szCs w:val="15"/>
              </w:rPr>
            </w:pPr>
            <w:r>
              <w:rPr>
                <w:rFonts w:hint="eastAsia" w:cs="宋体"/>
                <w:kern w:val="0"/>
                <w:sz w:val="15"/>
                <w:szCs w:val="15"/>
              </w:rPr>
              <w:t>科技</w:t>
            </w:r>
          </w:p>
        </w:tc>
        <w:tc>
          <w:tcPr>
            <w:tcW w:w="575" w:type="dxa"/>
            <w:noWrap w:val="0"/>
            <w:vAlign w:val="center"/>
          </w:tcPr>
          <w:p w14:paraId="1BE2946F">
            <w:pPr>
              <w:widowControl/>
              <w:snapToGrid w:val="0"/>
              <w:jc w:val="center"/>
              <w:rPr>
                <w:rFonts w:cs="宋体"/>
                <w:kern w:val="0"/>
                <w:sz w:val="15"/>
                <w:szCs w:val="15"/>
              </w:rPr>
            </w:pPr>
            <w:r>
              <w:rPr>
                <w:rFonts w:hint="eastAsia" w:cs="宋体"/>
                <w:kern w:val="0"/>
                <w:sz w:val="15"/>
                <w:szCs w:val="15"/>
              </w:rPr>
              <w:t>1</w:t>
            </w:r>
            <w:r>
              <w:rPr>
                <w:rFonts w:cs="宋体"/>
                <w:kern w:val="0"/>
                <w:sz w:val="15"/>
                <w:szCs w:val="15"/>
              </w:rPr>
              <w:t>4</w:t>
            </w:r>
          </w:p>
        </w:tc>
        <w:tc>
          <w:tcPr>
            <w:tcW w:w="3134" w:type="dxa"/>
            <w:noWrap w:val="0"/>
            <w:vAlign w:val="center"/>
          </w:tcPr>
          <w:p w14:paraId="6A6A6F5F">
            <w:pPr>
              <w:widowControl/>
              <w:snapToGrid w:val="0"/>
              <w:jc w:val="left"/>
              <w:rPr>
                <w:rFonts w:cs="宋体"/>
                <w:kern w:val="0"/>
                <w:sz w:val="15"/>
                <w:szCs w:val="15"/>
              </w:rPr>
            </w:pPr>
            <w:r>
              <w:rPr>
                <w:rFonts w:hint="eastAsia" w:cs="宋体"/>
                <w:kern w:val="0"/>
                <w:sz w:val="15"/>
                <w:szCs w:val="15"/>
              </w:rPr>
              <w:t>综合科技进步水平指数（％）</w:t>
            </w:r>
          </w:p>
        </w:tc>
        <w:tc>
          <w:tcPr>
            <w:tcW w:w="1493" w:type="dxa"/>
            <w:noWrap w:val="0"/>
            <w:vAlign w:val="center"/>
          </w:tcPr>
          <w:p w14:paraId="3EA3263D">
            <w:pPr>
              <w:widowControl/>
              <w:snapToGrid w:val="0"/>
              <w:jc w:val="center"/>
              <w:rPr>
                <w:rFonts w:cs="宋体"/>
                <w:strike/>
                <w:kern w:val="0"/>
                <w:sz w:val="15"/>
                <w:szCs w:val="15"/>
              </w:rPr>
            </w:pPr>
            <w:r>
              <w:rPr>
                <w:rFonts w:cs="宋体"/>
                <w:kern w:val="0"/>
                <w:sz w:val="15"/>
                <w:szCs w:val="15"/>
              </w:rPr>
              <w:t>74.04</w:t>
            </w:r>
          </w:p>
        </w:tc>
        <w:tc>
          <w:tcPr>
            <w:tcW w:w="1014" w:type="dxa"/>
            <w:noWrap w:val="0"/>
            <w:vAlign w:val="center"/>
          </w:tcPr>
          <w:p w14:paraId="3946A308">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2E7A0B5B">
            <w:pPr>
              <w:widowControl/>
              <w:snapToGrid w:val="0"/>
              <w:jc w:val="center"/>
              <w:rPr>
                <w:rFonts w:cs="宋体"/>
                <w:kern w:val="0"/>
                <w:sz w:val="15"/>
                <w:szCs w:val="15"/>
              </w:rPr>
            </w:pPr>
            <w:r>
              <w:rPr>
                <w:rFonts w:hint="eastAsia" w:cs="宋体"/>
                <w:kern w:val="0"/>
                <w:sz w:val="15"/>
                <w:szCs w:val="15"/>
              </w:rPr>
              <w:t>7</w:t>
            </w:r>
            <w:r>
              <w:rPr>
                <w:rFonts w:cs="宋体"/>
                <w:kern w:val="0"/>
                <w:sz w:val="15"/>
                <w:szCs w:val="15"/>
              </w:rPr>
              <w:t>5</w:t>
            </w:r>
          </w:p>
        </w:tc>
        <w:tc>
          <w:tcPr>
            <w:tcW w:w="1954" w:type="dxa"/>
            <w:noWrap w:val="0"/>
            <w:vAlign w:val="center"/>
          </w:tcPr>
          <w:p w14:paraId="33103002">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615DFA2B">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3C1194B2">
            <w:pPr>
              <w:widowControl/>
              <w:snapToGrid w:val="0"/>
              <w:jc w:val="center"/>
              <w:rPr>
                <w:rFonts w:cs="宋体"/>
                <w:kern w:val="0"/>
                <w:sz w:val="15"/>
                <w:szCs w:val="15"/>
              </w:rPr>
            </w:pPr>
            <w:r>
              <w:rPr>
                <w:rFonts w:hint="eastAsia" w:cs="宋体"/>
                <w:kern w:val="0"/>
                <w:sz w:val="15"/>
                <w:szCs w:val="15"/>
              </w:rPr>
              <w:t>工信局</w:t>
            </w:r>
          </w:p>
        </w:tc>
      </w:tr>
      <w:tr w14:paraId="1C93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2E2958C4">
            <w:pPr>
              <w:widowControl/>
              <w:snapToGrid w:val="0"/>
              <w:jc w:val="center"/>
              <w:rPr>
                <w:rFonts w:cs="宋体"/>
                <w:kern w:val="0"/>
                <w:sz w:val="15"/>
                <w:szCs w:val="15"/>
              </w:rPr>
            </w:pPr>
          </w:p>
        </w:tc>
        <w:tc>
          <w:tcPr>
            <w:tcW w:w="649" w:type="dxa"/>
            <w:vMerge w:val="continue"/>
            <w:noWrap w:val="0"/>
            <w:vAlign w:val="center"/>
          </w:tcPr>
          <w:p w14:paraId="4E5E0139">
            <w:pPr>
              <w:widowControl/>
              <w:snapToGrid w:val="0"/>
              <w:jc w:val="center"/>
              <w:rPr>
                <w:rFonts w:cs="宋体"/>
                <w:kern w:val="0"/>
                <w:sz w:val="15"/>
                <w:szCs w:val="15"/>
              </w:rPr>
            </w:pPr>
          </w:p>
        </w:tc>
        <w:tc>
          <w:tcPr>
            <w:tcW w:w="575" w:type="dxa"/>
            <w:noWrap w:val="0"/>
            <w:vAlign w:val="center"/>
          </w:tcPr>
          <w:p w14:paraId="7F9AC2A3">
            <w:pPr>
              <w:widowControl/>
              <w:snapToGrid w:val="0"/>
              <w:jc w:val="center"/>
              <w:rPr>
                <w:rFonts w:cs="宋体"/>
                <w:kern w:val="0"/>
                <w:sz w:val="15"/>
                <w:szCs w:val="15"/>
              </w:rPr>
            </w:pPr>
            <w:r>
              <w:rPr>
                <w:rFonts w:hint="eastAsia" w:cs="宋体"/>
                <w:kern w:val="0"/>
                <w:sz w:val="15"/>
                <w:szCs w:val="15"/>
              </w:rPr>
              <w:t>1</w:t>
            </w:r>
            <w:r>
              <w:rPr>
                <w:rFonts w:cs="宋体"/>
                <w:kern w:val="0"/>
                <w:sz w:val="15"/>
                <w:szCs w:val="15"/>
              </w:rPr>
              <w:t>5</w:t>
            </w:r>
          </w:p>
        </w:tc>
        <w:tc>
          <w:tcPr>
            <w:tcW w:w="3134" w:type="dxa"/>
            <w:noWrap w:val="0"/>
            <w:vAlign w:val="center"/>
          </w:tcPr>
          <w:p w14:paraId="15E36A75">
            <w:pPr>
              <w:widowControl/>
              <w:snapToGrid w:val="0"/>
              <w:jc w:val="left"/>
              <w:rPr>
                <w:rFonts w:cs="宋体"/>
                <w:kern w:val="0"/>
                <w:sz w:val="15"/>
                <w:szCs w:val="15"/>
              </w:rPr>
            </w:pPr>
            <w:r>
              <w:rPr>
                <w:rFonts w:hint="eastAsia" w:cs="宋体"/>
                <w:kern w:val="0"/>
                <w:sz w:val="15"/>
                <w:szCs w:val="15"/>
              </w:rPr>
              <w:t>每万人发明专利拥有量（件）</w:t>
            </w:r>
          </w:p>
        </w:tc>
        <w:tc>
          <w:tcPr>
            <w:tcW w:w="1493" w:type="dxa"/>
            <w:noWrap w:val="0"/>
            <w:vAlign w:val="center"/>
          </w:tcPr>
          <w:p w14:paraId="378550B0">
            <w:pPr>
              <w:widowControl/>
              <w:snapToGrid w:val="0"/>
              <w:jc w:val="center"/>
              <w:rPr>
                <w:rFonts w:cs="宋体"/>
                <w:kern w:val="0"/>
                <w:sz w:val="15"/>
                <w:szCs w:val="15"/>
              </w:rPr>
            </w:pPr>
            <w:r>
              <w:rPr>
                <w:rFonts w:hint="eastAsia" w:cs="宋体"/>
                <w:kern w:val="0"/>
                <w:sz w:val="15"/>
                <w:szCs w:val="15"/>
              </w:rPr>
              <w:t>2.68</w:t>
            </w:r>
          </w:p>
        </w:tc>
        <w:tc>
          <w:tcPr>
            <w:tcW w:w="1014" w:type="dxa"/>
            <w:noWrap w:val="0"/>
            <w:vAlign w:val="center"/>
          </w:tcPr>
          <w:p w14:paraId="4ABDD1F5">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243E2113">
            <w:pPr>
              <w:widowControl/>
              <w:snapToGrid w:val="0"/>
              <w:jc w:val="center"/>
              <w:rPr>
                <w:rFonts w:cs="宋体"/>
                <w:kern w:val="0"/>
                <w:sz w:val="15"/>
                <w:szCs w:val="15"/>
              </w:rPr>
            </w:pPr>
            <w:r>
              <w:rPr>
                <w:rFonts w:hint="eastAsia" w:cs="宋体"/>
                <w:kern w:val="0"/>
                <w:sz w:val="15"/>
                <w:szCs w:val="15"/>
              </w:rPr>
              <w:t>2</w:t>
            </w:r>
            <w:r>
              <w:rPr>
                <w:rFonts w:cs="宋体"/>
                <w:kern w:val="0"/>
                <w:sz w:val="15"/>
                <w:szCs w:val="15"/>
              </w:rPr>
              <w:t>.8</w:t>
            </w:r>
          </w:p>
        </w:tc>
        <w:tc>
          <w:tcPr>
            <w:tcW w:w="1954" w:type="dxa"/>
            <w:noWrap w:val="0"/>
            <w:vAlign w:val="center"/>
          </w:tcPr>
          <w:p w14:paraId="3CB84825">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2915984A">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01CCEF81">
            <w:pPr>
              <w:widowControl/>
              <w:snapToGrid w:val="0"/>
              <w:jc w:val="center"/>
              <w:rPr>
                <w:rFonts w:cs="宋体"/>
                <w:kern w:val="0"/>
                <w:sz w:val="15"/>
                <w:szCs w:val="15"/>
              </w:rPr>
            </w:pPr>
            <w:r>
              <w:rPr>
                <w:rFonts w:hint="eastAsia" w:cs="宋体"/>
                <w:kern w:val="0"/>
                <w:sz w:val="15"/>
                <w:szCs w:val="15"/>
              </w:rPr>
              <w:t>市场监管局</w:t>
            </w:r>
          </w:p>
        </w:tc>
      </w:tr>
      <w:tr w14:paraId="4460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43" w:type="dxa"/>
            <w:vMerge w:val="continue"/>
            <w:noWrap w:val="0"/>
            <w:vAlign w:val="center"/>
          </w:tcPr>
          <w:p w14:paraId="503CB2D2">
            <w:pPr>
              <w:widowControl/>
              <w:snapToGrid w:val="0"/>
              <w:jc w:val="center"/>
              <w:rPr>
                <w:rFonts w:cs="宋体"/>
                <w:kern w:val="0"/>
                <w:sz w:val="15"/>
                <w:szCs w:val="15"/>
              </w:rPr>
            </w:pPr>
          </w:p>
        </w:tc>
        <w:tc>
          <w:tcPr>
            <w:tcW w:w="649" w:type="dxa"/>
            <w:vMerge w:val="continue"/>
            <w:noWrap w:val="0"/>
            <w:vAlign w:val="center"/>
          </w:tcPr>
          <w:p w14:paraId="6E277F45">
            <w:pPr>
              <w:widowControl/>
              <w:snapToGrid w:val="0"/>
              <w:jc w:val="center"/>
              <w:rPr>
                <w:rFonts w:cs="宋体"/>
                <w:kern w:val="0"/>
                <w:sz w:val="15"/>
                <w:szCs w:val="15"/>
              </w:rPr>
            </w:pPr>
          </w:p>
        </w:tc>
        <w:tc>
          <w:tcPr>
            <w:tcW w:w="575" w:type="dxa"/>
            <w:noWrap w:val="0"/>
            <w:vAlign w:val="center"/>
          </w:tcPr>
          <w:p w14:paraId="7F01D86A">
            <w:pPr>
              <w:widowControl/>
              <w:snapToGrid w:val="0"/>
              <w:jc w:val="center"/>
              <w:rPr>
                <w:rFonts w:cs="宋体"/>
                <w:kern w:val="0"/>
                <w:sz w:val="15"/>
                <w:szCs w:val="15"/>
              </w:rPr>
            </w:pPr>
            <w:r>
              <w:rPr>
                <w:rFonts w:hint="eastAsia" w:cs="宋体"/>
                <w:kern w:val="0"/>
                <w:sz w:val="15"/>
                <w:szCs w:val="15"/>
              </w:rPr>
              <w:t>1</w:t>
            </w:r>
            <w:r>
              <w:rPr>
                <w:rFonts w:cs="宋体"/>
                <w:kern w:val="0"/>
                <w:sz w:val="15"/>
                <w:szCs w:val="15"/>
              </w:rPr>
              <w:t>6</w:t>
            </w:r>
          </w:p>
        </w:tc>
        <w:tc>
          <w:tcPr>
            <w:tcW w:w="3134" w:type="dxa"/>
            <w:noWrap w:val="0"/>
            <w:vAlign w:val="center"/>
          </w:tcPr>
          <w:p w14:paraId="6D369A4A">
            <w:pPr>
              <w:widowControl/>
              <w:snapToGrid w:val="0"/>
              <w:jc w:val="left"/>
              <w:rPr>
                <w:rFonts w:cs="宋体"/>
                <w:kern w:val="0"/>
                <w:sz w:val="15"/>
                <w:szCs w:val="15"/>
              </w:rPr>
            </w:pPr>
            <w:r>
              <w:rPr>
                <w:rFonts w:hint="eastAsia" w:cs="宋体"/>
                <w:kern w:val="0"/>
                <w:sz w:val="15"/>
                <w:szCs w:val="15"/>
              </w:rPr>
              <w:t>大数据与实体经济融合指数（%）</w:t>
            </w:r>
          </w:p>
        </w:tc>
        <w:tc>
          <w:tcPr>
            <w:tcW w:w="1493" w:type="dxa"/>
            <w:noWrap w:val="0"/>
            <w:vAlign w:val="center"/>
          </w:tcPr>
          <w:p w14:paraId="21627F15">
            <w:pPr>
              <w:widowControl/>
              <w:snapToGrid w:val="0"/>
              <w:jc w:val="center"/>
              <w:rPr>
                <w:rFonts w:cs="宋体"/>
                <w:kern w:val="0"/>
                <w:sz w:val="15"/>
                <w:szCs w:val="15"/>
              </w:rPr>
            </w:pPr>
            <w:r>
              <w:rPr>
                <w:rFonts w:hint="eastAsia" w:cs="宋体"/>
                <w:kern w:val="0"/>
                <w:sz w:val="15"/>
                <w:szCs w:val="15"/>
              </w:rPr>
              <w:t>49.5</w:t>
            </w:r>
          </w:p>
        </w:tc>
        <w:tc>
          <w:tcPr>
            <w:tcW w:w="1014" w:type="dxa"/>
            <w:noWrap w:val="0"/>
            <w:vAlign w:val="center"/>
          </w:tcPr>
          <w:p w14:paraId="35A9C01A">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001A9124">
            <w:pPr>
              <w:widowControl/>
              <w:snapToGrid w:val="0"/>
              <w:jc w:val="center"/>
              <w:rPr>
                <w:rFonts w:ascii="Arial" w:hAnsi="Arial" w:cs="Arial"/>
                <w:kern w:val="0"/>
                <w:sz w:val="15"/>
                <w:szCs w:val="15"/>
              </w:rPr>
            </w:pPr>
            <w:r>
              <w:rPr>
                <w:rFonts w:hint="eastAsia" w:cs="Arial"/>
                <w:kern w:val="0"/>
                <w:sz w:val="15"/>
                <w:szCs w:val="15"/>
              </w:rPr>
              <w:t>55</w:t>
            </w:r>
          </w:p>
        </w:tc>
        <w:tc>
          <w:tcPr>
            <w:tcW w:w="1954" w:type="dxa"/>
            <w:noWrap w:val="0"/>
            <w:vAlign w:val="center"/>
          </w:tcPr>
          <w:p w14:paraId="13C744E5">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32D466B7">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6A9792A8">
            <w:pPr>
              <w:widowControl/>
              <w:snapToGrid w:val="0"/>
              <w:jc w:val="center"/>
              <w:rPr>
                <w:rFonts w:cs="宋体"/>
                <w:kern w:val="0"/>
                <w:sz w:val="15"/>
                <w:szCs w:val="15"/>
              </w:rPr>
            </w:pPr>
            <w:r>
              <w:rPr>
                <w:rFonts w:hint="eastAsia" w:cs="宋体"/>
                <w:kern w:val="0"/>
                <w:sz w:val="15"/>
                <w:szCs w:val="15"/>
              </w:rPr>
              <w:t>工信局</w:t>
            </w:r>
          </w:p>
        </w:tc>
      </w:tr>
      <w:tr w14:paraId="28F1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43" w:type="dxa"/>
            <w:vMerge w:val="continue"/>
            <w:noWrap w:val="0"/>
            <w:vAlign w:val="center"/>
          </w:tcPr>
          <w:p w14:paraId="739FABD6">
            <w:pPr>
              <w:widowControl/>
              <w:snapToGrid w:val="0"/>
              <w:jc w:val="center"/>
              <w:rPr>
                <w:rFonts w:cs="宋体"/>
                <w:kern w:val="0"/>
                <w:sz w:val="15"/>
                <w:szCs w:val="15"/>
              </w:rPr>
            </w:pPr>
          </w:p>
        </w:tc>
        <w:tc>
          <w:tcPr>
            <w:tcW w:w="649" w:type="dxa"/>
            <w:vMerge w:val="continue"/>
            <w:noWrap w:val="0"/>
            <w:vAlign w:val="center"/>
          </w:tcPr>
          <w:p w14:paraId="593DF3CE">
            <w:pPr>
              <w:widowControl/>
              <w:snapToGrid w:val="0"/>
              <w:jc w:val="center"/>
              <w:rPr>
                <w:rFonts w:cs="宋体"/>
                <w:kern w:val="0"/>
                <w:sz w:val="15"/>
                <w:szCs w:val="15"/>
              </w:rPr>
            </w:pPr>
          </w:p>
        </w:tc>
        <w:tc>
          <w:tcPr>
            <w:tcW w:w="575" w:type="dxa"/>
            <w:noWrap w:val="0"/>
            <w:vAlign w:val="center"/>
          </w:tcPr>
          <w:p w14:paraId="06ABE33B">
            <w:pPr>
              <w:widowControl/>
              <w:snapToGrid w:val="0"/>
              <w:jc w:val="center"/>
              <w:rPr>
                <w:rFonts w:cs="宋体"/>
                <w:kern w:val="0"/>
                <w:sz w:val="15"/>
                <w:szCs w:val="15"/>
              </w:rPr>
            </w:pPr>
            <w:r>
              <w:rPr>
                <w:rFonts w:cs="宋体"/>
                <w:kern w:val="0"/>
                <w:sz w:val="15"/>
                <w:szCs w:val="15"/>
              </w:rPr>
              <w:t>17</w:t>
            </w:r>
          </w:p>
        </w:tc>
        <w:tc>
          <w:tcPr>
            <w:tcW w:w="3134" w:type="dxa"/>
            <w:noWrap w:val="0"/>
            <w:vAlign w:val="center"/>
          </w:tcPr>
          <w:p w14:paraId="31D94900">
            <w:pPr>
              <w:widowControl/>
              <w:snapToGrid w:val="0"/>
              <w:jc w:val="left"/>
              <w:rPr>
                <w:rFonts w:cs="宋体"/>
                <w:kern w:val="0"/>
                <w:sz w:val="15"/>
                <w:szCs w:val="15"/>
              </w:rPr>
            </w:pPr>
            <w:r>
              <w:rPr>
                <w:rFonts w:hint="eastAsia" w:cs="宋体"/>
                <w:kern w:val="0"/>
                <w:sz w:val="15"/>
                <w:szCs w:val="15"/>
              </w:rPr>
              <w:t>研究与试验发展（R&amp;D）﹡（万元 ）</w:t>
            </w:r>
          </w:p>
        </w:tc>
        <w:tc>
          <w:tcPr>
            <w:tcW w:w="1493" w:type="dxa"/>
            <w:noWrap w:val="0"/>
            <w:vAlign w:val="center"/>
          </w:tcPr>
          <w:p w14:paraId="3760D5F8">
            <w:pPr>
              <w:widowControl/>
              <w:snapToGrid w:val="0"/>
              <w:jc w:val="center"/>
              <w:rPr>
                <w:rFonts w:cs="宋体"/>
                <w:kern w:val="0"/>
                <w:sz w:val="15"/>
                <w:szCs w:val="15"/>
              </w:rPr>
            </w:pPr>
            <w:r>
              <w:rPr>
                <w:rFonts w:hint="eastAsia" w:cs="宋体"/>
                <w:kern w:val="0"/>
                <w:sz w:val="15"/>
                <w:szCs w:val="15"/>
              </w:rPr>
              <w:t>11300</w:t>
            </w:r>
          </w:p>
        </w:tc>
        <w:tc>
          <w:tcPr>
            <w:tcW w:w="1014" w:type="dxa"/>
            <w:noWrap w:val="0"/>
            <w:vAlign w:val="center"/>
          </w:tcPr>
          <w:p w14:paraId="75E43B08">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33777D72">
            <w:pPr>
              <w:widowControl/>
              <w:snapToGrid w:val="0"/>
              <w:jc w:val="center"/>
              <w:rPr>
                <w:rFonts w:cs="宋体"/>
                <w:kern w:val="0"/>
                <w:sz w:val="15"/>
                <w:szCs w:val="15"/>
              </w:rPr>
            </w:pPr>
            <w:r>
              <w:rPr>
                <w:rFonts w:hint="eastAsia" w:cs="宋体"/>
                <w:kern w:val="0"/>
                <w:sz w:val="15"/>
                <w:szCs w:val="15"/>
              </w:rPr>
              <w:t>30000</w:t>
            </w:r>
          </w:p>
        </w:tc>
        <w:tc>
          <w:tcPr>
            <w:tcW w:w="1954" w:type="dxa"/>
            <w:noWrap w:val="0"/>
            <w:vAlign w:val="center"/>
          </w:tcPr>
          <w:p w14:paraId="0B0298E8">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2BC2F967">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3D4515E4">
            <w:pPr>
              <w:widowControl/>
              <w:snapToGrid w:val="0"/>
              <w:jc w:val="center"/>
              <w:rPr>
                <w:rFonts w:cs="宋体"/>
                <w:kern w:val="0"/>
                <w:sz w:val="15"/>
                <w:szCs w:val="15"/>
              </w:rPr>
            </w:pPr>
            <w:r>
              <w:rPr>
                <w:rFonts w:hint="eastAsia" w:cs="宋体"/>
                <w:kern w:val="0"/>
                <w:sz w:val="15"/>
                <w:szCs w:val="15"/>
              </w:rPr>
              <w:t>工信局</w:t>
            </w:r>
          </w:p>
        </w:tc>
      </w:tr>
      <w:tr w14:paraId="5830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restart"/>
            <w:noWrap w:val="0"/>
            <w:vAlign w:val="center"/>
          </w:tcPr>
          <w:p w14:paraId="66794E3E">
            <w:pPr>
              <w:widowControl/>
              <w:snapToGrid w:val="0"/>
              <w:jc w:val="center"/>
              <w:rPr>
                <w:rFonts w:cs="宋体"/>
                <w:kern w:val="0"/>
                <w:sz w:val="15"/>
                <w:szCs w:val="15"/>
              </w:rPr>
            </w:pPr>
            <w:r>
              <w:rPr>
                <w:rFonts w:hint="eastAsia" w:cs="宋体"/>
                <w:kern w:val="0"/>
                <w:sz w:val="15"/>
                <w:szCs w:val="15"/>
              </w:rPr>
              <w:t>民生改善</w:t>
            </w:r>
          </w:p>
        </w:tc>
        <w:tc>
          <w:tcPr>
            <w:tcW w:w="649" w:type="dxa"/>
            <w:vMerge w:val="restart"/>
            <w:noWrap w:val="0"/>
            <w:vAlign w:val="center"/>
          </w:tcPr>
          <w:p w14:paraId="28B26968">
            <w:pPr>
              <w:widowControl/>
              <w:snapToGrid w:val="0"/>
              <w:jc w:val="center"/>
              <w:rPr>
                <w:rFonts w:cs="宋体"/>
                <w:kern w:val="0"/>
                <w:sz w:val="15"/>
                <w:szCs w:val="15"/>
              </w:rPr>
            </w:pPr>
            <w:r>
              <w:rPr>
                <w:rFonts w:hint="eastAsia" w:cs="宋体"/>
                <w:kern w:val="0"/>
                <w:sz w:val="15"/>
                <w:szCs w:val="15"/>
              </w:rPr>
              <w:t>生活</w:t>
            </w:r>
          </w:p>
        </w:tc>
        <w:tc>
          <w:tcPr>
            <w:tcW w:w="575" w:type="dxa"/>
            <w:noWrap w:val="0"/>
            <w:vAlign w:val="center"/>
          </w:tcPr>
          <w:p w14:paraId="15236A84">
            <w:pPr>
              <w:widowControl/>
              <w:snapToGrid w:val="0"/>
              <w:jc w:val="center"/>
              <w:rPr>
                <w:rFonts w:cs="宋体"/>
                <w:kern w:val="0"/>
                <w:sz w:val="15"/>
                <w:szCs w:val="15"/>
              </w:rPr>
            </w:pPr>
            <w:r>
              <w:rPr>
                <w:rFonts w:cs="宋体"/>
                <w:kern w:val="0"/>
                <w:sz w:val="15"/>
                <w:szCs w:val="15"/>
              </w:rPr>
              <w:t>18</w:t>
            </w:r>
          </w:p>
        </w:tc>
        <w:tc>
          <w:tcPr>
            <w:tcW w:w="3134" w:type="dxa"/>
            <w:noWrap w:val="0"/>
            <w:vAlign w:val="center"/>
          </w:tcPr>
          <w:p w14:paraId="2C018B9D">
            <w:pPr>
              <w:widowControl/>
              <w:snapToGrid w:val="0"/>
              <w:jc w:val="left"/>
              <w:rPr>
                <w:rFonts w:cs="宋体"/>
                <w:kern w:val="0"/>
                <w:sz w:val="15"/>
                <w:szCs w:val="15"/>
              </w:rPr>
            </w:pPr>
            <w:r>
              <w:rPr>
                <w:rFonts w:hint="eastAsia" w:cs="宋体"/>
                <w:kern w:val="0"/>
                <w:sz w:val="15"/>
                <w:szCs w:val="15"/>
              </w:rPr>
              <w:t>城镇居民人均可支配收入（元）</w:t>
            </w:r>
          </w:p>
        </w:tc>
        <w:tc>
          <w:tcPr>
            <w:tcW w:w="1493" w:type="dxa"/>
            <w:noWrap w:val="0"/>
            <w:vAlign w:val="center"/>
          </w:tcPr>
          <w:p w14:paraId="5D18BA74">
            <w:pPr>
              <w:widowControl/>
              <w:spacing w:line="200" w:lineRule="exact"/>
              <w:jc w:val="center"/>
              <w:rPr>
                <w:rFonts w:cs="宋体"/>
                <w:kern w:val="0"/>
                <w:sz w:val="15"/>
                <w:szCs w:val="15"/>
              </w:rPr>
            </w:pPr>
            <w:r>
              <w:rPr>
                <w:rFonts w:hint="eastAsia" w:cs="宋体"/>
                <w:kern w:val="0"/>
                <w:sz w:val="15"/>
                <w:szCs w:val="15"/>
              </w:rPr>
              <w:t>38</w:t>
            </w:r>
            <w:r>
              <w:rPr>
                <w:rFonts w:hint="eastAsia" w:cs="宋体"/>
                <w:kern w:val="0"/>
                <w:sz w:val="15"/>
                <w:szCs w:val="15"/>
                <w:lang w:val="en-US" w:eastAsia="zh-CN"/>
              </w:rPr>
              <w:t>204</w:t>
            </w:r>
          </w:p>
        </w:tc>
        <w:tc>
          <w:tcPr>
            <w:tcW w:w="1014" w:type="dxa"/>
            <w:noWrap w:val="0"/>
            <w:vAlign w:val="center"/>
          </w:tcPr>
          <w:p w14:paraId="5D4F30F3">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8.8</w:t>
            </w:r>
          </w:p>
        </w:tc>
        <w:tc>
          <w:tcPr>
            <w:tcW w:w="1301" w:type="dxa"/>
            <w:noWrap w:val="0"/>
            <w:vAlign w:val="center"/>
          </w:tcPr>
          <w:p w14:paraId="4E4E3AF5">
            <w:pPr>
              <w:widowControl/>
              <w:snapToGrid w:val="0"/>
              <w:jc w:val="center"/>
              <w:rPr>
                <w:rFonts w:cs="宋体"/>
                <w:kern w:val="0"/>
                <w:sz w:val="15"/>
                <w:szCs w:val="15"/>
              </w:rPr>
            </w:pPr>
          </w:p>
        </w:tc>
        <w:tc>
          <w:tcPr>
            <w:tcW w:w="1954" w:type="dxa"/>
            <w:noWrap w:val="0"/>
            <w:vAlign w:val="center"/>
          </w:tcPr>
          <w:p w14:paraId="662D652A">
            <w:pPr>
              <w:widowControl/>
              <w:snapToGrid w:val="0"/>
              <w:jc w:val="center"/>
              <w:rPr>
                <w:rFonts w:cs="宋体"/>
                <w:kern w:val="0"/>
                <w:sz w:val="15"/>
                <w:szCs w:val="15"/>
              </w:rPr>
            </w:pPr>
            <w:r>
              <w:rPr>
                <w:rFonts w:hint="eastAsia" w:cs="宋体"/>
                <w:kern w:val="0"/>
                <w:sz w:val="15"/>
                <w:szCs w:val="15"/>
                <w:lang w:val="en-US" w:eastAsia="zh-CN"/>
              </w:rPr>
              <w:t>8以上</w:t>
            </w:r>
          </w:p>
        </w:tc>
        <w:tc>
          <w:tcPr>
            <w:tcW w:w="1513" w:type="dxa"/>
            <w:noWrap w:val="0"/>
            <w:vAlign w:val="center"/>
          </w:tcPr>
          <w:p w14:paraId="1F22B4BE">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08F78840">
            <w:pPr>
              <w:widowControl/>
              <w:snapToGrid w:val="0"/>
              <w:jc w:val="center"/>
              <w:rPr>
                <w:rFonts w:cs="宋体"/>
                <w:kern w:val="0"/>
                <w:sz w:val="15"/>
                <w:szCs w:val="15"/>
              </w:rPr>
            </w:pPr>
            <w:r>
              <w:rPr>
                <w:rFonts w:hint="eastAsia" w:cs="宋体"/>
                <w:kern w:val="0"/>
                <w:sz w:val="15"/>
                <w:szCs w:val="15"/>
              </w:rPr>
              <w:t>人社局</w:t>
            </w:r>
          </w:p>
        </w:tc>
      </w:tr>
      <w:tr w14:paraId="2E59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43" w:type="dxa"/>
            <w:vMerge w:val="continue"/>
            <w:noWrap w:val="0"/>
            <w:vAlign w:val="center"/>
          </w:tcPr>
          <w:p w14:paraId="5C33A9A5">
            <w:pPr>
              <w:widowControl/>
              <w:snapToGrid w:val="0"/>
              <w:jc w:val="center"/>
              <w:rPr>
                <w:rFonts w:cs="宋体"/>
                <w:kern w:val="0"/>
                <w:sz w:val="15"/>
                <w:szCs w:val="15"/>
              </w:rPr>
            </w:pPr>
          </w:p>
        </w:tc>
        <w:tc>
          <w:tcPr>
            <w:tcW w:w="649" w:type="dxa"/>
            <w:vMerge w:val="continue"/>
            <w:noWrap w:val="0"/>
            <w:vAlign w:val="center"/>
          </w:tcPr>
          <w:p w14:paraId="3FF9E3AE">
            <w:pPr>
              <w:widowControl/>
              <w:snapToGrid w:val="0"/>
              <w:jc w:val="center"/>
              <w:rPr>
                <w:rFonts w:cs="宋体"/>
                <w:kern w:val="0"/>
                <w:sz w:val="15"/>
                <w:szCs w:val="15"/>
              </w:rPr>
            </w:pPr>
          </w:p>
        </w:tc>
        <w:tc>
          <w:tcPr>
            <w:tcW w:w="575" w:type="dxa"/>
            <w:noWrap w:val="0"/>
            <w:vAlign w:val="center"/>
          </w:tcPr>
          <w:p w14:paraId="6535069F">
            <w:pPr>
              <w:widowControl/>
              <w:snapToGrid w:val="0"/>
              <w:jc w:val="center"/>
              <w:rPr>
                <w:rFonts w:cs="宋体"/>
                <w:kern w:val="0"/>
                <w:sz w:val="15"/>
                <w:szCs w:val="15"/>
              </w:rPr>
            </w:pPr>
            <w:r>
              <w:rPr>
                <w:rFonts w:cs="宋体"/>
                <w:kern w:val="0"/>
                <w:sz w:val="15"/>
                <w:szCs w:val="15"/>
              </w:rPr>
              <w:t>19</w:t>
            </w:r>
          </w:p>
        </w:tc>
        <w:tc>
          <w:tcPr>
            <w:tcW w:w="3134" w:type="dxa"/>
            <w:noWrap w:val="0"/>
            <w:vAlign w:val="center"/>
          </w:tcPr>
          <w:p w14:paraId="236B1891">
            <w:pPr>
              <w:widowControl/>
              <w:snapToGrid w:val="0"/>
              <w:jc w:val="left"/>
              <w:rPr>
                <w:rFonts w:cs="宋体"/>
                <w:kern w:val="0"/>
                <w:sz w:val="15"/>
                <w:szCs w:val="15"/>
              </w:rPr>
            </w:pPr>
            <w:r>
              <w:rPr>
                <w:rFonts w:hint="eastAsia" w:cs="宋体"/>
                <w:kern w:val="0"/>
                <w:sz w:val="15"/>
                <w:szCs w:val="15"/>
              </w:rPr>
              <w:t>农村居民人均可支配收入（元）</w:t>
            </w:r>
          </w:p>
        </w:tc>
        <w:tc>
          <w:tcPr>
            <w:tcW w:w="1493" w:type="dxa"/>
            <w:noWrap w:val="0"/>
            <w:vAlign w:val="center"/>
          </w:tcPr>
          <w:p w14:paraId="14D24F1D">
            <w:pPr>
              <w:widowControl/>
              <w:spacing w:line="200" w:lineRule="exact"/>
              <w:jc w:val="center"/>
              <w:rPr>
                <w:rFonts w:hint="default" w:eastAsia="等线" w:cs="宋体"/>
                <w:kern w:val="0"/>
                <w:sz w:val="15"/>
                <w:szCs w:val="15"/>
                <w:lang w:val="en-US" w:eastAsia="zh-CN"/>
              </w:rPr>
            </w:pPr>
            <w:r>
              <w:rPr>
                <w:rFonts w:hint="eastAsia" w:cs="宋体"/>
                <w:kern w:val="0"/>
                <w:sz w:val="15"/>
                <w:szCs w:val="15"/>
              </w:rPr>
              <w:t>172</w:t>
            </w:r>
            <w:r>
              <w:rPr>
                <w:rFonts w:hint="eastAsia" w:cs="宋体"/>
                <w:kern w:val="0"/>
                <w:sz w:val="15"/>
                <w:szCs w:val="15"/>
                <w:lang w:val="en-US" w:eastAsia="zh-CN"/>
              </w:rPr>
              <w:t>08</w:t>
            </w:r>
          </w:p>
        </w:tc>
        <w:tc>
          <w:tcPr>
            <w:tcW w:w="1014" w:type="dxa"/>
            <w:noWrap w:val="0"/>
            <w:vAlign w:val="center"/>
          </w:tcPr>
          <w:p w14:paraId="1363C8E0">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9.7</w:t>
            </w:r>
          </w:p>
        </w:tc>
        <w:tc>
          <w:tcPr>
            <w:tcW w:w="1301" w:type="dxa"/>
            <w:noWrap w:val="0"/>
            <w:vAlign w:val="center"/>
          </w:tcPr>
          <w:p w14:paraId="45716815">
            <w:pPr>
              <w:widowControl/>
              <w:snapToGrid w:val="0"/>
              <w:jc w:val="center"/>
              <w:rPr>
                <w:rFonts w:cs="宋体"/>
                <w:kern w:val="0"/>
                <w:sz w:val="15"/>
                <w:szCs w:val="15"/>
              </w:rPr>
            </w:pPr>
          </w:p>
        </w:tc>
        <w:tc>
          <w:tcPr>
            <w:tcW w:w="1954" w:type="dxa"/>
            <w:noWrap w:val="0"/>
            <w:vAlign w:val="center"/>
          </w:tcPr>
          <w:p w14:paraId="53C2EDCB">
            <w:pPr>
              <w:widowControl/>
              <w:snapToGrid w:val="0"/>
              <w:jc w:val="center"/>
              <w:rPr>
                <w:rFonts w:cs="宋体"/>
                <w:kern w:val="0"/>
                <w:sz w:val="15"/>
                <w:szCs w:val="15"/>
              </w:rPr>
            </w:pPr>
            <w:r>
              <w:rPr>
                <w:rFonts w:hint="eastAsia" w:cs="宋体"/>
                <w:kern w:val="0"/>
                <w:sz w:val="15"/>
                <w:szCs w:val="15"/>
                <w:lang w:val="en-US" w:eastAsia="zh-CN"/>
              </w:rPr>
              <w:t>9以上</w:t>
            </w:r>
          </w:p>
        </w:tc>
        <w:tc>
          <w:tcPr>
            <w:tcW w:w="1513" w:type="dxa"/>
            <w:noWrap w:val="0"/>
            <w:vAlign w:val="center"/>
          </w:tcPr>
          <w:p w14:paraId="0469F038">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2B8395CD">
            <w:pPr>
              <w:widowControl/>
              <w:snapToGrid w:val="0"/>
              <w:jc w:val="center"/>
              <w:rPr>
                <w:rFonts w:cs="宋体"/>
                <w:kern w:val="0"/>
                <w:sz w:val="15"/>
                <w:szCs w:val="15"/>
              </w:rPr>
            </w:pPr>
            <w:r>
              <w:rPr>
                <w:rFonts w:hint="eastAsia" w:cs="宋体"/>
                <w:kern w:val="0"/>
                <w:sz w:val="15"/>
                <w:szCs w:val="15"/>
              </w:rPr>
              <w:t>农业农村局</w:t>
            </w:r>
          </w:p>
        </w:tc>
      </w:tr>
      <w:tr w14:paraId="4D4E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676885D8">
            <w:pPr>
              <w:widowControl/>
              <w:snapToGrid w:val="0"/>
              <w:jc w:val="center"/>
              <w:rPr>
                <w:rFonts w:cs="宋体"/>
                <w:kern w:val="0"/>
                <w:sz w:val="15"/>
                <w:szCs w:val="15"/>
              </w:rPr>
            </w:pPr>
          </w:p>
        </w:tc>
        <w:tc>
          <w:tcPr>
            <w:tcW w:w="649" w:type="dxa"/>
            <w:vMerge w:val="continue"/>
            <w:noWrap w:val="0"/>
            <w:vAlign w:val="center"/>
          </w:tcPr>
          <w:p w14:paraId="75AF5CE5">
            <w:pPr>
              <w:widowControl/>
              <w:snapToGrid w:val="0"/>
              <w:jc w:val="center"/>
              <w:rPr>
                <w:rFonts w:cs="宋体"/>
                <w:kern w:val="0"/>
                <w:sz w:val="15"/>
                <w:szCs w:val="15"/>
              </w:rPr>
            </w:pPr>
          </w:p>
        </w:tc>
        <w:tc>
          <w:tcPr>
            <w:tcW w:w="575" w:type="dxa"/>
            <w:noWrap w:val="0"/>
            <w:vAlign w:val="center"/>
          </w:tcPr>
          <w:p w14:paraId="7528396A">
            <w:pPr>
              <w:widowControl/>
              <w:snapToGrid w:val="0"/>
              <w:jc w:val="center"/>
              <w:rPr>
                <w:rFonts w:cs="宋体"/>
                <w:kern w:val="0"/>
                <w:sz w:val="15"/>
                <w:szCs w:val="15"/>
              </w:rPr>
            </w:pPr>
            <w:r>
              <w:rPr>
                <w:rFonts w:cs="宋体"/>
                <w:kern w:val="0"/>
                <w:sz w:val="15"/>
                <w:szCs w:val="15"/>
              </w:rPr>
              <w:t>20</w:t>
            </w:r>
          </w:p>
        </w:tc>
        <w:tc>
          <w:tcPr>
            <w:tcW w:w="3134" w:type="dxa"/>
            <w:noWrap w:val="0"/>
            <w:vAlign w:val="center"/>
          </w:tcPr>
          <w:p w14:paraId="06C185D5">
            <w:pPr>
              <w:widowControl/>
              <w:snapToGrid w:val="0"/>
              <w:jc w:val="left"/>
              <w:rPr>
                <w:rFonts w:cs="宋体"/>
                <w:kern w:val="0"/>
                <w:sz w:val="15"/>
                <w:szCs w:val="15"/>
              </w:rPr>
            </w:pPr>
            <w:r>
              <w:rPr>
                <w:rFonts w:hint="eastAsia" w:cs="宋体"/>
                <w:kern w:val="0"/>
                <w:sz w:val="15"/>
                <w:szCs w:val="15"/>
              </w:rPr>
              <w:t>基本养老保险参保率（%）</w:t>
            </w:r>
          </w:p>
        </w:tc>
        <w:tc>
          <w:tcPr>
            <w:tcW w:w="1493" w:type="dxa"/>
            <w:noWrap w:val="0"/>
            <w:vAlign w:val="center"/>
          </w:tcPr>
          <w:p w14:paraId="63EFC440">
            <w:pPr>
              <w:widowControl/>
              <w:snapToGrid w:val="0"/>
              <w:jc w:val="center"/>
              <w:rPr>
                <w:rFonts w:cs="宋体"/>
                <w:kern w:val="0"/>
                <w:sz w:val="15"/>
                <w:szCs w:val="15"/>
              </w:rPr>
            </w:pPr>
            <w:r>
              <w:rPr>
                <w:rFonts w:hint="eastAsia" w:cs="宋体"/>
                <w:kern w:val="0"/>
                <w:sz w:val="15"/>
                <w:szCs w:val="15"/>
              </w:rPr>
              <w:t>96</w:t>
            </w:r>
          </w:p>
        </w:tc>
        <w:tc>
          <w:tcPr>
            <w:tcW w:w="1014" w:type="dxa"/>
            <w:noWrap w:val="0"/>
            <w:vAlign w:val="center"/>
          </w:tcPr>
          <w:p w14:paraId="0EF8BEBD">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0D81955A">
            <w:pPr>
              <w:widowControl/>
              <w:snapToGrid w:val="0"/>
              <w:jc w:val="center"/>
              <w:rPr>
                <w:rFonts w:cs="宋体"/>
                <w:kern w:val="0"/>
                <w:sz w:val="15"/>
                <w:szCs w:val="15"/>
              </w:rPr>
            </w:pPr>
            <w:r>
              <w:rPr>
                <w:rFonts w:hint="eastAsia" w:cs="宋体"/>
                <w:kern w:val="0"/>
                <w:sz w:val="15"/>
                <w:szCs w:val="15"/>
              </w:rPr>
              <w:t>达到省市要求</w:t>
            </w:r>
          </w:p>
        </w:tc>
        <w:tc>
          <w:tcPr>
            <w:tcW w:w="1954" w:type="dxa"/>
            <w:noWrap w:val="0"/>
            <w:vAlign w:val="center"/>
          </w:tcPr>
          <w:p w14:paraId="49551BBE">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26A56E0F">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6031FE40">
            <w:pPr>
              <w:widowControl/>
              <w:snapToGrid w:val="0"/>
              <w:jc w:val="center"/>
              <w:rPr>
                <w:rFonts w:cs="宋体"/>
                <w:kern w:val="0"/>
                <w:sz w:val="15"/>
                <w:szCs w:val="15"/>
              </w:rPr>
            </w:pPr>
            <w:r>
              <w:rPr>
                <w:rFonts w:hint="eastAsia" w:cs="宋体"/>
                <w:kern w:val="0"/>
                <w:sz w:val="15"/>
                <w:szCs w:val="15"/>
              </w:rPr>
              <w:t>人社局</w:t>
            </w:r>
          </w:p>
        </w:tc>
      </w:tr>
      <w:tr w14:paraId="6C19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34AB42EC">
            <w:pPr>
              <w:widowControl/>
              <w:snapToGrid w:val="0"/>
              <w:jc w:val="center"/>
              <w:rPr>
                <w:rFonts w:cs="宋体"/>
                <w:kern w:val="0"/>
                <w:sz w:val="15"/>
                <w:szCs w:val="15"/>
              </w:rPr>
            </w:pPr>
          </w:p>
        </w:tc>
        <w:tc>
          <w:tcPr>
            <w:tcW w:w="649" w:type="dxa"/>
            <w:vMerge w:val="restart"/>
            <w:noWrap w:val="0"/>
            <w:vAlign w:val="center"/>
          </w:tcPr>
          <w:p w14:paraId="09BC7817">
            <w:pPr>
              <w:widowControl/>
              <w:snapToGrid w:val="0"/>
              <w:jc w:val="center"/>
              <w:rPr>
                <w:rFonts w:cs="宋体"/>
                <w:kern w:val="0"/>
                <w:sz w:val="15"/>
                <w:szCs w:val="15"/>
              </w:rPr>
            </w:pPr>
            <w:r>
              <w:rPr>
                <w:rFonts w:hint="eastAsia" w:cs="宋体"/>
                <w:kern w:val="0"/>
                <w:sz w:val="15"/>
                <w:szCs w:val="15"/>
              </w:rPr>
              <w:t>就业</w:t>
            </w:r>
          </w:p>
        </w:tc>
        <w:tc>
          <w:tcPr>
            <w:tcW w:w="575" w:type="dxa"/>
            <w:noWrap w:val="0"/>
            <w:vAlign w:val="center"/>
          </w:tcPr>
          <w:p w14:paraId="64EC44FB">
            <w:pPr>
              <w:widowControl/>
              <w:snapToGrid w:val="0"/>
              <w:jc w:val="center"/>
              <w:rPr>
                <w:rFonts w:cs="宋体"/>
                <w:kern w:val="0"/>
                <w:sz w:val="15"/>
                <w:szCs w:val="15"/>
              </w:rPr>
            </w:pPr>
            <w:r>
              <w:rPr>
                <w:rFonts w:cs="宋体"/>
                <w:kern w:val="0"/>
                <w:sz w:val="15"/>
                <w:szCs w:val="15"/>
              </w:rPr>
              <w:t>21</w:t>
            </w:r>
          </w:p>
        </w:tc>
        <w:tc>
          <w:tcPr>
            <w:tcW w:w="3134" w:type="dxa"/>
            <w:noWrap w:val="0"/>
            <w:vAlign w:val="center"/>
          </w:tcPr>
          <w:p w14:paraId="5A9E8026">
            <w:pPr>
              <w:widowControl/>
              <w:snapToGrid w:val="0"/>
              <w:jc w:val="left"/>
              <w:rPr>
                <w:rFonts w:cs="宋体"/>
                <w:kern w:val="0"/>
                <w:sz w:val="15"/>
                <w:szCs w:val="15"/>
              </w:rPr>
            </w:pPr>
            <w:r>
              <w:rPr>
                <w:rFonts w:hint="eastAsia" w:cs="宋体"/>
                <w:kern w:val="0"/>
                <w:sz w:val="15"/>
                <w:szCs w:val="15"/>
              </w:rPr>
              <w:t>城镇新增就业人数（人）</w:t>
            </w:r>
          </w:p>
        </w:tc>
        <w:tc>
          <w:tcPr>
            <w:tcW w:w="1493" w:type="dxa"/>
            <w:noWrap w:val="0"/>
            <w:vAlign w:val="center"/>
          </w:tcPr>
          <w:p w14:paraId="29970E2C">
            <w:pPr>
              <w:widowControl/>
              <w:snapToGrid w:val="0"/>
              <w:jc w:val="center"/>
              <w:rPr>
                <w:rFonts w:cs="宋体"/>
                <w:strike/>
                <w:kern w:val="0"/>
                <w:sz w:val="15"/>
                <w:szCs w:val="15"/>
              </w:rPr>
            </w:pPr>
            <w:r>
              <w:rPr>
                <w:rFonts w:cs="宋体"/>
                <w:kern w:val="0"/>
                <w:sz w:val="15"/>
                <w:szCs w:val="15"/>
              </w:rPr>
              <w:t>7</w:t>
            </w:r>
            <w:r>
              <w:rPr>
                <w:rFonts w:hint="eastAsia" w:cs="宋体"/>
                <w:kern w:val="0"/>
                <w:sz w:val="15"/>
                <w:szCs w:val="15"/>
              </w:rPr>
              <w:t>925</w:t>
            </w:r>
          </w:p>
        </w:tc>
        <w:tc>
          <w:tcPr>
            <w:tcW w:w="1014" w:type="dxa"/>
            <w:noWrap w:val="0"/>
            <w:vAlign w:val="center"/>
          </w:tcPr>
          <w:p w14:paraId="62F30D33">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01438E2F">
            <w:pPr>
              <w:widowControl/>
              <w:snapToGrid w:val="0"/>
              <w:jc w:val="center"/>
              <w:rPr>
                <w:rFonts w:cs="宋体"/>
                <w:kern w:val="0"/>
                <w:sz w:val="15"/>
                <w:szCs w:val="15"/>
              </w:rPr>
            </w:pPr>
            <w:r>
              <w:rPr>
                <w:rFonts w:hint="eastAsia" w:cs="宋体"/>
                <w:kern w:val="0"/>
                <w:sz w:val="15"/>
                <w:szCs w:val="15"/>
                <w:lang w:val="en-US" w:eastAsia="zh-CN"/>
              </w:rPr>
              <w:t>每年新增</w:t>
            </w:r>
            <w:r>
              <w:rPr>
                <w:rFonts w:hint="eastAsia" w:cs="宋体"/>
                <w:kern w:val="0"/>
                <w:sz w:val="15"/>
                <w:szCs w:val="15"/>
              </w:rPr>
              <w:t>7700</w:t>
            </w:r>
          </w:p>
        </w:tc>
        <w:tc>
          <w:tcPr>
            <w:tcW w:w="1954" w:type="dxa"/>
            <w:noWrap w:val="0"/>
            <w:vAlign w:val="center"/>
          </w:tcPr>
          <w:p w14:paraId="01513F8D">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6F18351D">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5B4F2F7D">
            <w:pPr>
              <w:widowControl/>
              <w:snapToGrid w:val="0"/>
              <w:jc w:val="center"/>
              <w:rPr>
                <w:rFonts w:cs="宋体"/>
                <w:kern w:val="0"/>
                <w:sz w:val="15"/>
                <w:szCs w:val="15"/>
              </w:rPr>
            </w:pPr>
            <w:r>
              <w:rPr>
                <w:rFonts w:hint="eastAsia" w:cs="宋体"/>
                <w:kern w:val="0"/>
                <w:sz w:val="15"/>
                <w:szCs w:val="15"/>
              </w:rPr>
              <w:t>人社局</w:t>
            </w:r>
          </w:p>
        </w:tc>
      </w:tr>
      <w:tr w14:paraId="3AB9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43" w:type="dxa"/>
            <w:vMerge w:val="continue"/>
            <w:noWrap w:val="0"/>
            <w:vAlign w:val="center"/>
          </w:tcPr>
          <w:p w14:paraId="259B3174">
            <w:pPr>
              <w:widowControl/>
              <w:snapToGrid w:val="0"/>
              <w:jc w:val="center"/>
              <w:rPr>
                <w:rFonts w:cs="宋体"/>
                <w:kern w:val="0"/>
                <w:sz w:val="15"/>
                <w:szCs w:val="15"/>
              </w:rPr>
            </w:pPr>
          </w:p>
        </w:tc>
        <w:tc>
          <w:tcPr>
            <w:tcW w:w="649" w:type="dxa"/>
            <w:vMerge w:val="continue"/>
            <w:noWrap w:val="0"/>
            <w:vAlign w:val="center"/>
          </w:tcPr>
          <w:p w14:paraId="238AB51D">
            <w:pPr>
              <w:widowControl/>
              <w:snapToGrid w:val="0"/>
              <w:jc w:val="center"/>
              <w:rPr>
                <w:rFonts w:cs="宋体"/>
                <w:kern w:val="0"/>
                <w:sz w:val="15"/>
                <w:szCs w:val="15"/>
              </w:rPr>
            </w:pPr>
          </w:p>
        </w:tc>
        <w:tc>
          <w:tcPr>
            <w:tcW w:w="575" w:type="dxa"/>
            <w:noWrap w:val="0"/>
            <w:vAlign w:val="center"/>
          </w:tcPr>
          <w:p w14:paraId="40564E18">
            <w:pPr>
              <w:widowControl/>
              <w:snapToGrid w:val="0"/>
              <w:jc w:val="center"/>
              <w:rPr>
                <w:rFonts w:cs="宋体"/>
                <w:kern w:val="0"/>
                <w:sz w:val="15"/>
                <w:szCs w:val="15"/>
              </w:rPr>
            </w:pPr>
            <w:r>
              <w:rPr>
                <w:rFonts w:cs="宋体"/>
                <w:kern w:val="0"/>
                <w:sz w:val="15"/>
                <w:szCs w:val="15"/>
              </w:rPr>
              <w:t>22</w:t>
            </w:r>
          </w:p>
        </w:tc>
        <w:tc>
          <w:tcPr>
            <w:tcW w:w="3134" w:type="dxa"/>
            <w:noWrap w:val="0"/>
            <w:vAlign w:val="center"/>
          </w:tcPr>
          <w:p w14:paraId="12830431">
            <w:pPr>
              <w:widowControl/>
              <w:snapToGrid w:val="0"/>
              <w:jc w:val="left"/>
              <w:rPr>
                <w:rFonts w:cs="宋体"/>
                <w:kern w:val="0"/>
                <w:sz w:val="15"/>
                <w:szCs w:val="15"/>
              </w:rPr>
            </w:pPr>
            <w:r>
              <w:rPr>
                <w:rFonts w:hint="eastAsia" w:cs="宋体"/>
                <w:kern w:val="0"/>
                <w:sz w:val="15"/>
                <w:szCs w:val="15"/>
              </w:rPr>
              <w:t>城镇登记失业率（％）</w:t>
            </w:r>
          </w:p>
        </w:tc>
        <w:tc>
          <w:tcPr>
            <w:tcW w:w="1493" w:type="dxa"/>
            <w:noWrap w:val="0"/>
            <w:vAlign w:val="center"/>
          </w:tcPr>
          <w:p w14:paraId="532C7517">
            <w:pPr>
              <w:widowControl/>
              <w:snapToGrid w:val="0"/>
              <w:jc w:val="center"/>
              <w:rPr>
                <w:rFonts w:cs="宋体"/>
                <w:kern w:val="0"/>
                <w:sz w:val="15"/>
                <w:szCs w:val="15"/>
              </w:rPr>
            </w:pPr>
            <w:r>
              <w:rPr>
                <w:rFonts w:hint="eastAsia" w:cs="宋体"/>
                <w:kern w:val="0"/>
                <w:sz w:val="15"/>
                <w:szCs w:val="15"/>
              </w:rPr>
              <w:t>控制在5</w:t>
            </w:r>
            <w:r>
              <w:rPr>
                <w:rFonts w:cs="宋体"/>
                <w:kern w:val="0"/>
                <w:sz w:val="15"/>
                <w:szCs w:val="15"/>
              </w:rPr>
              <w:t>.0</w:t>
            </w:r>
            <w:r>
              <w:rPr>
                <w:rFonts w:hint="eastAsia" w:cs="宋体"/>
                <w:kern w:val="0"/>
                <w:sz w:val="15"/>
                <w:szCs w:val="15"/>
              </w:rPr>
              <w:t>以内</w:t>
            </w:r>
          </w:p>
        </w:tc>
        <w:tc>
          <w:tcPr>
            <w:tcW w:w="1014" w:type="dxa"/>
            <w:noWrap w:val="0"/>
            <w:vAlign w:val="center"/>
          </w:tcPr>
          <w:p w14:paraId="3D6486AB">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0D965CB1">
            <w:pPr>
              <w:widowControl/>
              <w:snapToGrid w:val="0"/>
              <w:jc w:val="center"/>
              <w:rPr>
                <w:rFonts w:cs="宋体"/>
                <w:kern w:val="0"/>
                <w:sz w:val="15"/>
                <w:szCs w:val="15"/>
              </w:rPr>
            </w:pPr>
            <w:r>
              <w:rPr>
                <w:rFonts w:hint="eastAsia" w:cs="宋体"/>
                <w:kern w:val="0"/>
                <w:sz w:val="15"/>
                <w:szCs w:val="15"/>
              </w:rPr>
              <w:t>控制在5以内</w:t>
            </w:r>
          </w:p>
        </w:tc>
        <w:tc>
          <w:tcPr>
            <w:tcW w:w="1954" w:type="dxa"/>
            <w:noWrap w:val="0"/>
            <w:vAlign w:val="center"/>
          </w:tcPr>
          <w:p w14:paraId="471AEC7D">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51A06985">
            <w:pPr>
              <w:widowControl/>
              <w:snapToGrid w:val="0"/>
              <w:jc w:val="center"/>
              <w:rPr>
                <w:rFonts w:cs="宋体"/>
                <w:kern w:val="0"/>
                <w:sz w:val="15"/>
                <w:szCs w:val="15"/>
              </w:rPr>
            </w:pPr>
            <w:r>
              <w:rPr>
                <w:rFonts w:hint="eastAsia" w:cs="宋体"/>
                <w:kern w:val="0"/>
                <w:sz w:val="15"/>
                <w:szCs w:val="15"/>
              </w:rPr>
              <w:t>约束性</w:t>
            </w:r>
          </w:p>
        </w:tc>
        <w:tc>
          <w:tcPr>
            <w:tcW w:w="1762" w:type="dxa"/>
            <w:noWrap w:val="0"/>
            <w:vAlign w:val="center"/>
          </w:tcPr>
          <w:p w14:paraId="32CA3E7E">
            <w:pPr>
              <w:widowControl/>
              <w:snapToGrid w:val="0"/>
              <w:jc w:val="center"/>
              <w:rPr>
                <w:rFonts w:cs="宋体"/>
                <w:kern w:val="0"/>
                <w:sz w:val="15"/>
                <w:szCs w:val="15"/>
              </w:rPr>
            </w:pPr>
            <w:r>
              <w:rPr>
                <w:rFonts w:hint="eastAsia" w:cs="宋体"/>
                <w:kern w:val="0"/>
                <w:sz w:val="15"/>
                <w:szCs w:val="15"/>
              </w:rPr>
              <w:t>人社局</w:t>
            </w:r>
          </w:p>
        </w:tc>
      </w:tr>
      <w:tr w14:paraId="4EFE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1D0C4FD0">
            <w:pPr>
              <w:widowControl/>
              <w:snapToGrid w:val="0"/>
              <w:jc w:val="center"/>
              <w:rPr>
                <w:rFonts w:cs="宋体"/>
                <w:kern w:val="0"/>
                <w:sz w:val="15"/>
                <w:szCs w:val="15"/>
              </w:rPr>
            </w:pPr>
          </w:p>
        </w:tc>
        <w:tc>
          <w:tcPr>
            <w:tcW w:w="649" w:type="dxa"/>
            <w:vMerge w:val="continue"/>
            <w:noWrap w:val="0"/>
            <w:vAlign w:val="center"/>
          </w:tcPr>
          <w:p w14:paraId="7F8885DE">
            <w:pPr>
              <w:widowControl/>
              <w:snapToGrid w:val="0"/>
              <w:jc w:val="center"/>
              <w:rPr>
                <w:rFonts w:cs="宋体"/>
                <w:kern w:val="0"/>
                <w:sz w:val="15"/>
                <w:szCs w:val="15"/>
              </w:rPr>
            </w:pPr>
          </w:p>
        </w:tc>
        <w:tc>
          <w:tcPr>
            <w:tcW w:w="575" w:type="dxa"/>
            <w:noWrap w:val="0"/>
            <w:vAlign w:val="center"/>
          </w:tcPr>
          <w:p w14:paraId="00EE20E9">
            <w:pPr>
              <w:widowControl/>
              <w:snapToGrid w:val="0"/>
              <w:jc w:val="center"/>
              <w:rPr>
                <w:rFonts w:cs="宋体"/>
                <w:kern w:val="0"/>
                <w:sz w:val="15"/>
                <w:szCs w:val="15"/>
              </w:rPr>
            </w:pPr>
            <w:r>
              <w:rPr>
                <w:rFonts w:cs="宋体"/>
                <w:kern w:val="0"/>
                <w:sz w:val="15"/>
                <w:szCs w:val="15"/>
              </w:rPr>
              <w:t>23</w:t>
            </w:r>
          </w:p>
        </w:tc>
        <w:tc>
          <w:tcPr>
            <w:tcW w:w="3134" w:type="dxa"/>
            <w:noWrap w:val="0"/>
            <w:vAlign w:val="center"/>
          </w:tcPr>
          <w:p w14:paraId="00951D2E">
            <w:pPr>
              <w:widowControl/>
              <w:snapToGrid w:val="0"/>
              <w:jc w:val="left"/>
              <w:rPr>
                <w:rFonts w:cs="宋体"/>
                <w:kern w:val="0"/>
                <w:sz w:val="15"/>
                <w:szCs w:val="15"/>
              </w:rPr>
            </w:pPr>
            <w:r>
              <w:rPr>
                <w:rFonts w:hint="eastAsia" w:cs="宋体"/>
                <w:kern w:val="0"/>
                <w:sz w:val="15"/>
                <w:szCs w:val="15"/>
              </w:rPr>
              <w:t>学前三年教育毛入园率（％）</w:t>
            </w:r>
          </w:p>
        </w:tc>
        <w:tc>
          <w:tcPr>
            <w:tcW w:w="1493" w:type="dxa"/>
            <w:noWrap w:val="0"/>
            <w:vAlign w:val="center"/>
          </w:tcPr>
          <w:p w14:paraId="4137640F">
            <w:pPr>
              <w:widowControl/>
              <w:snapToGrid w:val="0"/>
              <w:jc w:val="center"/>
              <w:rPr>
                <w:rFonts w:cs="宋体"/>
                <w:kern w:val="0"/>
                <w:sz w:val="15"/>
                <w:szCs w:val="15"/>
              </w:rPr>
            </w:pPr>
            <w:r>
              <w:rPr>
                <w:rFonts w:hint="eastAsia" w:cs="宋体"/>
                <w:kern w:val="0"/>
                <w:sz w:val="15"/>
                <w:szCs w:val="15"/>
              </w:rPr>
              <w:t>94．5</w:t>
            </w:r>
          </w:p>
        </w:tc>
        <w:tc>
          <w:tcPr>
            <w:tcW w:w="1014" w:type="dxa"/>
            <w:noWrap w:val="0"/>
            <w:vAlign w:val="center"/>
          </w:tcPr>
          <w:p w14:paraId="0B29F4D3">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28313A66">
            <w:pPr>
              <w:widowControl/>
              <w:snapToGrid w:val="0"/>
              <w:jc w:val="center"/>
              <w:rPr>
                <w:rFonts w:cs="宋体"/>
                <w:kern w:val="0"/>
                <w:sz w:val="15"/>
                <w:szCs w:val="15"/>
              </w:rPr>
            </w:pPr>
            <w:r>
              <w:rPr>
                <w:rFonts w:hint="eastAsia" w:cs="宋体"/>
                <w:kern w:val="0"/>
                <w:sz w:val="15"/>
                <w:szCs w:val="15"/>
              </w:rPr>
              <w:t>96</w:t>
            </w:r>
            <w:r>
              <w:rPr>
                <w:rFonts w:hint="eastAsia" w:cs="宋体"/>
                <w:kern w:val="0"/>
                <w:sz w:val="15"/>
                <w:szCs w:val="15"/>
                <w:lang w:eastAsia="zh-CN"/>
              </w:rPr>
              <w:t>以上</w:t>
            </w:r>
          </w:p>
        </w:tc>
        <w:tc>
          <w:tcPr>
            <w:tcW w:w="1954" w:type="dxa"/>
            <w:noWrap w:val="0"/>
            <w:vAlign w:val="center"/>
          </w:tcPr>
          <w:p w14:paraId="5605901D">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5134B39F">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6FAD40A7">
            <w:pPr>
              <w:widowControl/>
              <w:snapToGrid w:val="0"/>
              <w:jc w:val="center"/>
              <w:rPr>
                <w:rFonts w:cs="宋体"/>
                <w:kern w:val="0"/>
                <w:sz w:val="15"/>
                <w:szCs w:val="15"/>
              </w:rPr>
            </w:pPr>
            <w:r>
              <w:rPr>
                <w:rFonts w:hint="eastAsia" w:cs="宋体"/>
                <w:kern w:val="0"/>
                <w:sz w:val="15"/>
                <w:szCs w:val="15"/>
              </w:rPr>
              <w:t>教育局</w:t>
            </w:r>
          </w:p>
        </w:tc>
      </w:tr>
      <w:tr w14:paraId="743D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5C413063">
            <w:pPr>
              <w:widowControl/>
              <w:snapToGrid w:val="0"/>
              <w:jc w:val="center"/>
              <w:rPr>
                <w:rFonts w:cs="宋体"/>
                <w:kern w:val="0"/>
                <w:sz w:val="15"/>
                <w:szCs w:val="15"/>
              </w:rPr>
            </w:pPr>
          </w:p>
        </w:tc>
        <w:tc>
          <w:tcPr>
            <w:tcW w:w="649" w:type="dxa"/>
            <w:vMerge w:val="continue"/>
            <w:noWrap w:val="0"/>
            <w:vAlign w:val="center"/>
          </w:tcPr>
          <w:p w14:paraId="67B524B9">
            <w:pPr>
              <w:widowControl/>
              <w:snapToGrid w:val="0"/>
              <w:jc w:val="center"/>
              <w:rPr>
                <w:rFonts w:cs="宋体"/>
                <w:kern w:val="0"/>
                <w:sz w:val="15"/>
                <w:szCs w:val="15"/>
              </w:rPr>
            </w:pPr>
          </w:p>
        </w:tc>
        <w:tc>
          <w:tcPr>
            <w:tcW w:w="575" w:type="dxa"/>
            <w:noWrap w:val="0"/>
            <w:vAlign w:val="center"/>
          </w:tcPr>
          <w:p w14:paraId="49A11BD1">
            <w:pPr>
              <w:widowControl/>
              <w:snapToGrid w:val="0"/>
              <w:jc w:val="center"/>
              <w:rPr>
                <w:rFonts w:cs="宋体"/>
                <w:kern w:val="0"/>
                <w:sz w:val="15"/>
                <w:szCs w:val="15"/>
              </w:rPr>
            </w:pPr>
            <w:r>
              <w:rPr>
                <w:rFonts w:cs="宋体"/>
                <w:kern w:val="0"/>
                <w:sz w:val="15"/>
                <w:szCs w:val="15"/>
              </w:rPr>
              <w:t>24</w:t>
            </w:r>
          </w:p>
        </w:tc>
        <w:tc>
          <w:tcPr>
            <w:tcW w:w="3134" w:type="dxa"/>
            <w:noWrap w:val="0"/>
            <w:vAlign w:val="center"/>
          </w:tcPr>
          <w:p w14:paraId="7EB52D77">
            <w:pPr>
              <w:widowControl/>
              <w:snapToGrid w:val="0"/>
              <w:jc w:val="left"/>
              <w:rPr>
                <w:rFonts w:cs="宋体"/>
                <w:kern w:val="0"/>
                <w:sz w:val="15"/>
                <w:szCs w:val="15"/>
              </w:rPr>
            </w:pPr>
            <w:r>
              <w:rPr>
                <w:rFonts w:hint="eastAsia" w:cs="宋体"/>
                <w:kern w:val="0"/>
                <w:sz w:val="15"/>
                <w:szCs w:val="15"/>
              </w:rPr>
              <w:t>九年义务教育巩固率（％）</w:t>
            </w:r>
          </w:p>
        </w:tc>
        <w:tc>
          <w:tcPr>
            <w:tcW w:w="1493" w:type="dxa"/>
            <w:noWrap w:val="0"/>
            <w:vAlign w:val="center"/>
          </w:tcPr>
          <w:p w14:paraId="5E821DEA">
            <w:pPr>
              <w:widowControl/>
              <w:snapToGrid w:val="0"/>
              <w:jc w:val="center"/>
              <w:rPr>
                <w:rFonts w:cs="宋体"/>
                <w:kern w:val="0"/>
                <w:sz w:val="15"/>
                <w:szCs w:val="15"/>
              </w:rPr>
            </w:pPr>
            <w:r>
              <w:rPr>
                <w:rFonts w:hint="eastAsia" w:cs="宋体"/>
                <w:kern w:val="0"/>
                <w:sz w:val="15"/>
                <w:szCs w:val="15"/>
              </w:rPr>
              <w:t>95以上</w:t>
            </w:r>
          </w:p>
        </w:tc>
        <w:tc>
          <w:tcPr>
            <w:tcW w:w="1014" w:type="dxa"/>
            <w:noWrap w:val="0"/>
            <w:vAlign w:val="center"/>
          </w:tcPr>
          <w:p w14:paraId="1D733BDA">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40B6444F">
            <w:pPr>
              <w:widowControl/>
              <w:snapToGrid w:val="0"/>
              <w:jc w:val="center"/>
              <w:rPr>
                <w:rFonts w:cs="宋体"/>
                <w:kern w:val="0"/>
                <w:sz w:val="15"/>
                <w:szCs w:val="15"/>
              </w:rPr>
            </w:pPr>
            <w:r>
              <w:rPr>
                <w:rFonts w:hint="eastAsia" w:cs="宋体"/>
                <w:kern w:val="0"/>
                <w:sz w:val="15"/>
                <w:szCs w:val="15"/>
              </w:rPr>
              <w:t>97</w:t>
            </w:r>
          </w:p>
        </w:tc>
        <w:tc>
          <w:tcPr>
            <w:tcW w:w="1954" w:type="dxa"/>
            <w:noWrap w:val="0"/>
            <w:vAlign w:val="center"/>
          </w:tcPr>
          <w:p w14:paraId="66E0DFED">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1F808964">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76DCEF44">
            <w:pPr>
              <w:widowControl/>
              <w:snapToGrid w:val="0"/>
              <w:jc w:val="center"/>
              <w:rPr>
                <w:rFonts w:cs="宋体"/>
                <w:kern w:val="0"/>
                <w:sz w:val="15"/>
                <w:szCs w:val="15"/>
              </w:rPr>
            </w:pPr>
            <w:r>
              <w:rPr>
                <w:rFonts w:hint="eastAsia" w:cs="宋体"/>
                <w:kern w:val="0"/>
                <w:sz w:val="15"/>
                <w:szCs w:val="15"/>
              </w:rPr>
              <w:t>教育局</w:t>
            </w:r>
          </w:p>
        </w:tc>
      </w:tr>
      <w:tr w14:paraId="5622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43" w:type="dxa"/>
            <w:vMerge w:val="continue"/>
            <w:noWrap w:val="0"/>
            <w:vAlign w:val="center"/>
          </w:tcPr>
          <w:p w14:paraId="5A3084D3">
            <w:pPr>
              <w:widowControl/>
              <w:snapToGrid w:val="0"/>
              <w:jc w:val="center"/>
              <w:rPr>
                <w:rFonts w:cs="宋体"/>
                <w:kern w:val="0"/>
                <w:sz w:val="15"/>
                <w:szCs w:val="15"/>
              </w:rPr>
            </w:pPr>
          </w:p>
        </w:tc>
        <w:tc>
          <w:tcPr>
            <w:tcW w:w="649" w:type="dxa"/>
            <w:vMerge w:val="continue"/>
            <w:noWrap w:val="0"/>
            <w:vAlign w:val="center"/>
          </w:tcPr>
          <w:p w14:paraId="2F81816C">
            <w:pPr>
              <w:widowControl/>
              <w:snapToGrid w:val="0"/>
              <w:jc w:val="center"/>
              <w:rPr>
                <w:rFonts w:cs="宋体"/>
                <w:kern w:val="0"/>
                <w:sz w:val="15"/>
                <w:szCs w:val="15"/>
              </w:rPr>
            </w:pPr>
          </w:p>
        </w:tc>
        <w:tc>
          <w:tcPr>
            <w:tcW w:w="575" w:type="dxa"/>
            <w:noWrap w:val="0"/>
            <w:vAlign w:val="center"/>
          </w:tcPr>
          <w:p w14:paraId="56F64669">
            <w:pPr>
              <w:widowControl/>
              <w:snapToGrid w:val="0"/>
              <w:jc w:val="center"/>
              <w:rPr>
                <w:rFonts w:cs="宋体"/>
                <w:kern w:val="0"/>
                <w:sz w:val="15"/>
                <w:szCs w:val="15"/>
              </w:rPr>
            </w:pPr>
            <w:r>
              <w:rPr>
                <w:rFonts w:cs="宋体"/>
                <w:kern w:val="0"/>
                <w:sz w:val="15"/>
                <w:szCs w:val="15"/>
              </w:rPr>
              <w:t>25</w:t>
            </w:r>
          </w:p>
        </w:tc>
        <w:tc>
          <w:tcPr>
            <w:tcW w:w="3134" w:type="dxa"/>
            <w:noWrap w:val="0"/>
            <w:vAlign w:val="center"/>
          </w:tcPr>
          <w:p w14:paraId="723AD5D0">
            <w:pPr>
              <w:widowControl/>
              <w:snapToGrid w:val="0"/>
              <w:jc w:val="left"/>
              <w:rPr>
                <w:rFonts w:cs="宋体"/>
                <w:kern w:val="0"/>
                <w:sz w:val="15"/>
                <w:szCs w:val="15"/>
              </w:rPr>
            </w:pPr>
            <w:r>
              <w:rPr>
                <w:rFonts w:hint="eastAsia" w:cs="宋体"/>
                <w:kern w:val="0"/>
                <w:sz w:val="15"/>
                <w:szCs w:val="15"/>
              </w:rPr>
              <w:t>高中阶段毛入学率（％）</w:t>
            </w:r>
          </w:p>
        </w:tc>
        <w:tc>
          <w:tcPr>
            <w:tcW w:w="1493" w:type="dxa"/>
            <w:noWrap w:val="0"/>
            <w:vAlign w:val="center"/>
          </w:tcPr>
          <w:p w14:paraId="3C0A09BF">
            <w:pPr>
              <w:widowControl/>
              <w:snapToGrid w:val="0"/>
              <w:jc w:val="center"/>
              <w:rPr>
                <w:rFonts w:cs="宋体"/>
                <w:kern w:val="0"/>
                <w:sz w:val="15"/>
                <w:szCs w:val="15"/>
              </w:rPr>
            </w:pPr>
            <w:r>
              <w:rPr>
                <w:rFonts w:hint="eastAsia" w:cs="宋体"/>
                <w:kern w:val="0"/>
                <w:sz w:val="15"/>
                <w:szCs w:val="15"/>
              </w:rPr>
              <w:t>95以上</w:t>
            </w:r>
          </w:p>
        </w:tc>
        <w:tc>
          <w:tcPr>
            <w:tcW w:w="1014" w:type="dxa"/>
            <w:noWrap w:val="0"/>
            <w:vAlign w:val="center"/>
          </w:tcPr>
          <w:p w14:paraId="2862EA80">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208707E1">
            <w:pPr>
              <w:widowControl/>
              <w:snapToGrid w:val="0"/>
              <w:jc w:val="center"/>
              <w:rPr>
                <w:rFonts w:cs="宋体"/>
                <w:kern w:val="0"/>
                <w:sz w:val="15"/>
                <w:szCs w:val="15"/>
              </w:rPr>
            </w:pPr>
            <w:r>
              <w:rPr>
                <w:rFonts w:hint="eastAsia" w:cs="宋体"/>
                <w:kern w:val="0"/>
                <w:sz w:val="15"/>
                <w:szCs w:val="15"/>
              </w:rPr>
              <w:t>95.5</w:t>
            </w:r>
          </w:p>
        </w:tc>
        <w:tc>
          <w:tcPr>
            <w:tcW w:w="1954" w:type="dxa"/>
            <w:noWrap w:val="0"/>
            <w:vAlign w:val="center"/>
          </w:tcPr>
          <w:p w14:paraId="69CB39ED">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54FE87B4">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71BAFEC7">
            <w:pPr>
              <w:widowControl/>
              <w:snapToGrid w:val="0"/>
              <w:jc w:val="center"/>
              <w:rPr>
                <w:rFonts w:cs="宋体"/>
                <w:kern w:val="0"/>
                <w:sz w:val="15"/>
                <w:szCs w:val="15"/>
              </w:rPr>
            </w:pPr>
            <w:r>
              <w:rPr>
                <w:rFonts w:hint="eastAsia" w:cs="宋体"/>
                <w:kern w:val="0"/>
                <w:sz w:val="15"/>
                <w:szCs w:val="15"/>
              </w:rPr>
              <w:t>教育局</w:t>
            </w:r>
          </w:p>
        </w:tc>
      </w:tr>
      <w:tr w14:paraId="5A47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0C60B875">
            <w:pPr>
              <w:widowControl/>
              <w:snapToGrid w:val="0"/>
              <w:jc w:val="center"/>
              <w:rPr>
                <w:rFonts w:cs="宋体"/>
                <w:kern w:val="0"/>
                <w:sz w:val="15"/>
                <w:szCs w:val="15"/>
              </w:rPr>
            </w:pPr>
          </w:p>
        </w:tc>
        <w:tc>
          <w:tcPr>
            <w:tcW w:w="649" w:type="dxa"/>
            <w:vMerge w:val="continue"/>
            <w:noWrap w:val="0"/>
            <w:vAlign w:val="center"/>
          </w:tcPr>
          <w:p w14:paraId="46F12F87">
            <w:pPr>
              <w:widowControl/>
              <w:snapToGrid w:val="0"/>
              <w:jc w:val="center"/>
              <w:rPr>
                <w:rFonts w:cs="宋体"/>
                <w:kern w:val="0"/>
                <w:sz w:val="15"/>
                <w:szCs w:val="15"/>
              </w:rPr>
            </w:pPr>
          </w:p>
        </w:tc>
        <w:tc>
          <w:tcPr>
            <w:tcW w:w="575" w:type="dxa"/>
            <w:noWrap w:val="0"/>
            <w:vAlign w:val="center"/>
          </w:tcPr>
          <w:p w14:paraId="09FF6B8C">
            <w:pPr>
              <w:widowControl/>
              <w:snapToGrid w:val="0"/>
              <w:jc w:val="center"/>
              <w:rPr>
                <w:rFonts w:cs="宋体"/>
                <w:kern w:val="0"/>
                <w:sz w:val="15"/>
                <w:szCs w:val="15"/>
              </w:rPr>
            </w:pPr>
            <w:r>
              <w:rPr>
                <w:rFonts w:cs="宋体"/>
                <w:kern w:val="0"/>
                <w:sz w:val="15"/>
                <w:szCs w:val="15"/>
              </w:rPr>
              <w:t>26</w:t>
            </w:r>
          </w:p>
        </w:tc>
        <w:tc>
          <w:tcPr>
            <w:tcW w:w="3134" w:type="dxa"/>
            <w:noWrap w:val="0"/>
            <w:vAlign w:val="center"/>
          </w:tcPr>
          <w:p w14:paraId="1D12C967">
            <w:pPr>
              <w:widowControl/>
              <w:snapToGrid w:val="0"/>
              <w:jc w:val="left"/>
              <w:rPr>
                <w:rFonts w:cs="宋体"/>
                <w:kern w:val="0"/>
                <w:sz w:val="15"/>
                <w:szCs w:val="15"/>
              </w:rPr>
            </w:pPr>
            <w:r>
              <w:rPr>
                <w:rFonts w:hint="eastAsia" w:cs="宋体"/>
                <w:kern w:val="0"/>
                <w:sz w:val="15"/>
                <w:szCs w:val="15"/>
              </w:rPr>
              <w:t>人均受教育年限（年）</w:t>
            </w:r>
          </w:p>
        </w:tc>
        <w:tc>
          <w:tcPr>
            <w:tcW w:w="1493" w:type="dxa"/>
            <w:noWrap w:val="0"/>
            <w:vAlign w:val="center"/>
          </w:tcPr>
          <w:p w14:paraId="1343829E">
            <w:pPr>
              <w:widowControl/>
              <w:snapToGrid w:val="0"/>
              <w:jc w:val="center"/>
              <w:rPr>
                <w:rFonts w:cs="宋体"/>
                <w:kern w:val="0"/>
                <w:sz w:val="15"/>
                <w:szCs w:val="15"/>
              </w:rPr>
            </w:pPr>
            <w:r>
              <w:rPr>
                <w:rFonts w:hint="eastAsia" w:cs="宋体"/>
                <w:kern w:val="0"/>
                <w:sz w:val="15"/>
                <w:szCs w:val="15"/>
              </w:rPr>
              <w:t>12</w:t>
            </w:r>
          </w:p>
        </w:tc>
        <w:tc>
          <w:tcPr>
            <w:tcW w:w="1014" w:type="dxa"/>
            <w:noWrap w:val="0"/>
            <w:vAlign w:val="center"/>
          </w:tcPr>
          <w:p w14:paraId="56DF82A6">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5E4E6797">
            <w:pPr>
              <w:widowControl/>
              <w:snapToGrid w:val="0"/>
              <w:jc w:val="center"/>
              <w:rPr>
                <w:rFonts w:cs="宋体"/>
                <w:kern w:val="0"/>
                <w:sz w:val="15"/>
                <w:szCs w:val="15"/>
              </w:rPr>
            </w:pPr>
            <w:r>
              <w:rPr>
                <w:rFonts w:hint="eastAsia" w:cs="宋体"/>
                <w:kern w:val="0"/>
                <w:sz w:val="15"/>
                <w:szCs w:val="15"/>
              </w:rPr>
              <w:t>12</w:t>
            </w:r>
          </w:p>
        </w:tc>
        <w:tc>
          <w:tcPr>
            <w:tcW w:w="1954" w:type="dxa"/>
            <w:noWrap w:val="0"/>
            <w:vAlign w:val="center"/>
          </w:tcPr>
          <w:p w14:paraId="5129F026">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58535DA0">
            <w:pPr>
              <w:widowControl/>
              <w:snapToGrid w:val="0"/>
              <w:jc w:val="center"/>
              <w:rPr>
                <w:rFonts w:cs="宋体"/>
                <w:kern w:val="0"/>
                <w:sz w:val="15"/>
                <w:szCs w:val="15"/>
              </w:rPr>
            </w:pPr>
            <w:r>
              <w:rPr>
                <w:rFonts w:hint="eastAsia" w:cs="宋体"/>
                <w:kern w:val="0"/>
                <w:sz w:val="15"/>
                <w:szCs w:val="15"/>
              </w:rPr>
              <w:t>预期性</w:t>
            </w:r>
          </w:p>
        </w:tc>
        <w:tc>
          <w:tcPr>
            <w:tcW w:w="1762" w:type="dxa"/>
            <w:noWrap w:val="0"/>
            <w:vAlign w:val="center"/>
          </w:tcPr>
          <w:p w14:paraId="0A1017D7">
            <w:pPr>
              <w:widowControl/>
              <w:snapToGrid w:val="0"/>
              <w:jc w:val="center"/>
              <w:rPr>
                <w:rFonts w:cs="宋体"/>
                <w:kern w:val="0"/>
                <w:sz w:val="15"/>
                <w:szCs w:val="15"/>
              </w:rPr>
            </w:pPr>
            <w:r>
              <w:rPr>
                <w:rFonts w:hint="eastAsia" w:cs="宋体"/>
                <w:kern w:val="0"/>
                <w:sz w:val="15"/>
                <w:szCs w:val="15"/>
              </w:rPr>
              <w:t>教育局</w:t>
            </w:r>
          </w:p>
        </w:tc>
      </w:tr>
      <w:tr w14:paraId="434E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43" w:type="dxa"/>
            <w:vMerge w:val="restart"/>
            <w:noWrap w:val="0"/>
            <w:vAlign w:val="center"/>
          </w:tcPr>
          <w:p w14:paraId="4EC9E395">
            <w:pPr>
              <w:widowControl/>
              <w:snapToGrid w:val="0"/>
              <w:jc w:val="center"/>
              <w:rPr>
                <w:rFonts w:cs="宋体"/>
                <w:kern w:val="0"/>
                <w:sz w:val="15"/>
                <w:szCs w:val="15"/>
              </w:rPr>
            </w:pPr>
            <w:r>
              <w:rPr>
                <w:rFonts w:hint="eastAsia" w:cs="宋体"/>
                <w:kern w:val="0"/>
                <w:sz w:val="15"/>
                <w:szCs w:val="15"/>
              </w:rPr>
              <w:t>生态环境</w:t>
            </w:r>
          </w:p>
        </w:tc>
        <w:tc>
          <w:tcPr>
            <w:tcW w:w="649" w:type="dxa"/>
            <w:vMerge w:val="restart"/>
            <w:noWrap w:val="0"/>
            <w:vAlign w:val="center"/>
          </w:tcPr>
          <w:p w14:paraId="4588B7E3">
            <w:pPr>
              <w:widowControl/>
              <w:snapToGrid w:val="0"/>
              <w:jc w:val="center"/>
              <w:rPr>
                <w:rFonts w:cs="宋体"/>
                <w:kern w:val="0"/>
                <w:sz w:val="15"/>
                <w:szCs w:val="15"/>
              </w:rPr>
            </w:pPr>
            <w:r>
              <w:rPr>
                <w:rFonts w:hint="eastAsia" w:cs="宋体"/>
                <w:kern w:val="0"/>
                <w:sz w:val="15"/>
                <w:szCs w:val="15"/>
              </w:rPr>
              <w:t>生态</w:t>
            </w:r>
          </w:p>
        </w:tc>
        <w:tc>
          <w:tcPr>
            <w:tcW w:w="575" w:type="dxa"/>
            <w:noWrap w:val="0"/>
            <w:vAlign w:val="center"/>
          </w:tcPr>
          <w:p w14:paraId="1D5503B4">
            <w:pPr>
              <w:widowControl/>
              <w:snapToGrid w:val="0"/>
              <w:jc w:val="center"/>
              <w:rPr>
                <w:rFonts w:cs="宋体"/>
                <w:kern w:val="0"/>
                <w:sz w:val="15"/>
                <w:szCs w:val="15"/>
              </w:rPr>
            </w:pPr>
            <w:r>
              <w:rPr>
                <w:rFonts w:cs="宋体"/>
                <w:kern w:val="0"/>
                <w:sz w:val="15"/>
                <w:szCs w:val="15"/>
              </w:rPr>
              <w:t>2</w:t>
            </w:r>
            <w:r>
              <w:rPr>
                <w:rFonts w:hint="eastAsia" w:cs="宋体"/>
                <w:kern w:val="0"/>
                <w:sz w:val="15"/>
                <w:szCs w:val="15"/>
                <w:lang w:val="en-US" w:eastAsia="zh-CN"/>
              </w:rPr>
              <w:t>7</w:t>
            </w:r>
          </w:p>
        </w:tc>
        <w:tc>
          <w:tcPr>
            <w:tcW w:w="3134" w:type="dxa"/>
            <w:noWrap w:val="0"/>
            <w:vAlign w:val="center"/>
          </w:tcPr>
          <w:p w14:paraId="3461BDC4">
            <w:pPr>
              <w:widowControl/>
              <w:snapToGrid w:val="0"/>
              <w:jc w:val="left"/>
              <w:rPr>
                <w:rFonts w:cs="宋体"/>
                <w:kern w:val="0"/>
                <w:sz w:val="15"/>
                <w:szCs w:val="15"/>
              </w:rPr>
            </w:pPr>
            <w:r>
              <w:rPr>
                <w:rFonts w:hint="eastAsia" w:cs="宋体"/>
                <w:kern w:val="0"/>
                <w:sz w:val="15"/>
                <w:szCs w:val="15"/>
              </w:rPr>
              <w:t>空气质量优良天数比率（％）</w:t>
            </w:r>
          </w:p>
        </w:tc>
        <w:tc>
          <w:tcPr>
            <w:tcW w:w="1493" w:type="dxa"/>
            <w:noWrap w:val="0"/>
            <w:vAlign w:val="center"/>
          </w:tcPr>
          <w:p w14:paraId="6FF8F380">
            <w:pPr>
              <w:widowControl/>
              <w:snapToGrid w:val="0"/>
              <w:jc w:val="center"/>
              <w:rPr>
                <w:rFonts w:hint="default" w:eastAsia="等线" w:cs="宋体"/>
                <w:kern w:val="0"/>
                <w:sz w:val="15"/>
                <w:szCs w:val="15"/>
                <w:lang w:val="en-US" w:eastAsia="zh-CN"/>
              </w:rPr>
            </w:pPr>
            <w:r>
              <w:rPr>
                <w:rFonts w:hint="eastAsia" w:cs="宋体"/>
                <w:kern w:val="0"/>
                <w:sz w:val="15"/>
                <w:szCs w:val="15"/>
              </w:rPr>
              <w:t>9</w:t>
            </w:r>
            <w:r>
              <w:rPr>
                <w:rFonts w:hint="eastAsia" w:cs="宋体"/>
                <w:kern w:val="0"/>
                <w:sz w:val="15"/>
                <w:szCs w:val="15"/>
                <w:lang w:val="en-US" w:eastAsia="zh-CN"/>
              </w:rPr>
              <w:t>8.3</w:t>
            </w:r>
          </w:p>
        </w:tc>
        <w:tc>
          <w:tcPr>
            <w:tcW w:w="1014" w:type="dxa"/>
            <w:noWrap w:val="0"/>
            <w:vAlign w:val="center"/>
          </w:tcPr>
          <w:p w14:paraId="0C536C46">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55815F9B">
            <w:pPr>
              <w:widowControl/>
              <w:snapToGrid w:val="0"/>
              <w:jc w:val="center"/>
              <w:rPr>
                <w:rFonts w:hint="default" w:eastAsia="等线" w:cs="宋体"/>
                <w:kern w:val="0"/>
                <w:sz w:val="15"/>
                <w:szCs w:val="15"/>
                <w:lang w:val="en-US" w:eastAsia="zh-CN"/>
              </w:rPr>
            </w:pPr>
            <w:r>
              <w:rPr>
                <w:rFonts w:hint="eastAsia" w:cs="宋体"/>
                <w:kern w:val="0"/>
                <w:sz w:val="15"/>
                <w:szCs w:val="15"/>
                <w:lang w:val="en-US" w:eastAsia="zh-CN"/>
              </w:rPr>
              <w:t>98以上</w:t>
            </w:r>
          </w:p>
        </w:tc>
        <w:tc>
          <w:tcPr>
            <w:tcW w:w="1954" w:type="dxa"/>
            <w:noWrap w:val="0"/>
            <w:vAlign w:val="center"/>
          </w:tcPr>
          <w:p w14:paraId="49D53D54">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56D0AFA2">
            <w:pPr>
              <w:widowControl/>
              <w:snapToGrid w:val="0"/>
              <w:jc w:val="center"/>
              <w:rPr>
                <w:rFonts w:cs="宋体"/>
                <w:kern w:val="0"/>
                <w:sz w:val="15"/>
                <w:szCs w:val="15"/>
              </w:rPr>
            </w:pPr>
            <w:r>
              <w:rPr>
                <w:rFonts w:hint="eastAsia" w:cs="宋体"/>
                <w:kern w:val="0"/>
                <w:sz w:val="15"/>
                <w:szCs w:val="15"/>
              </w:rPr>
              <w:t>约束性</w:t>
            </w:r>
          </w:p>
        </w:tc>
        <w:tc>
          <w:tcPr>
            <w:tcW w:w="1762" w:type="dxa"/>
            <w:noWrap w:val="0"/>
            <w:vAlign w:val="center"/>
          </w:tcPr>
          <w:p w14:paraId="0138CD07">
            <w:pPr>
              <w:widowControl/>
              <w:snapToGrid w:val="0"/>
              <w:jc w:val="center"/>
              <w:rPr>
                <w:rFonts w:cs="宋体"/>
                <w:kern w:val="0"/>
                <w:sz w:val="15"/>
                <w:szCs w:val="15"/>
              </w:rPr>
            </w:pPr>
            <w:r>
              <w:rPr>
                <w:rFonts w:hint="eastAsia" w:cs="宋体"/>
                <w:kern w:val="0"/>
                <w:sz w:val="15"/>
                <w:szCs w:val="15"/>
              </w:rPr>
              <w:t>市生态环境局息烽分局</w:t>
            </w:r>
          </w:p>
        </w:tc>
      </w:tr>
      <w:tr w14:paraId="377D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43" w:type="dxa"/>
            <w:vMerge w:val="continue"/>
            <w:noWrap w:val="0"/>
            <w:vAlign w:val="center"/>
          </w:tcPr>
          <w:p w14:paraId="2DA6A536">
            <w:pPr>
              <w:widowControl/>
              <w:snapToGrid w:val="0"/>
              <w:jc w:val="center"/>
              <w:rPr>
                <w:rFonts w:cs="宋体"/>
                <w:kern w:val="0"/>
                <w:sz w:val="15"/>
                <w:szCs w:val="15"/>
              </w:rPr>
            </w:pPr>
          </w:p>
        </w:tc>
        <w:tc>
          <w:tcPr>
            <w:tcW w:w="649" w:type="dxa"/>
            <w:vMerge w:val="continue"/>
            <w:noWrap w:val="0"/>
            <w:vAlign w:val="center"/>
          </w:tcPr>
          <w:p w14:paraId="6DD3458B">
            <w:pPr>
              <w:widowControl/>
              <w:snapToGrid w:val="0"/>
              <w:jc w:val="center"/>
              <w:rPr>
                <w:rFonts w:cs="宋体"/>
                <w:kern w:val="0"/>
                <w:sz w:val="15"/>
                <w:szCs w:val="15"/>
              </w:rPr>
            </w:pPr>
          </w:p>
        </w:tc>
        <w:tc>
          <w:tcPr>
            <w:tcW w:w="575" w:type="dxa"/>
            <w:noWrap w:val="0"/>
            <w:vAlign w:val="center"/>
          </w:tcPr>
          <w:p w14:paraId="5C0666AC">
            <w:pPr>
              <w:widowControl/>
              <w:snapToGrid w:val="0"/>
              <w:jc w:val="center"/>
              <w:rPr>
                <w:rFonts w:cs="宋体"/>
                <w:kern w:val="0"/>
                <w:sz w:val="15"/>
                <w:szCs w:val="15"/>
              </w:rPr>
            </w:pPr>
            <w:r>
              <w:rPr>
                <w:rFonts w:cs="宋体"/>
                <w:kern w:val="0"/>
                <w:sz w:val="15"/>
                <w:szCs w:val="15"/>
              </w:rPr>
              <w:t>2</w:t>
            </w:r>
            <w:r>
              <w:rPr>
                <w:rFonts w:hint="eastAsia" w:cs="宋体"/>
                <w:kern w:val="0"/>
                <w:sz w:val="15"/>
                <w:szCs w:val="15"/>
                <w:lang w:val="en-US" w:eastAsia="zh-CN"/>
              </w:rPr>
              <w:t>8</w:t>
            </w:r>
          </w:p>
        </w:tc>
        <w:tc>
          <w:tcPr>
            <w:tcW w:w="3134" w:type="dxa"/>
            <w:noWrap w:val="0"/>
            <w:vAlign w:val="center"/>
          </w:tcPr>
          <w:p w14:paraId="498E6A94">
            <w:pPr>
              <w:widowControl/>
              <w:snapToGrid w:val="0"/>
              <w:jc w:val="left"/>
              <w:rPr>
                <w:rFonts w:cs="宋体"/>
                <w:kern w:val="0"/>
                <w:sz w:val="15"/>
                <w:szCs w:val="15"/>
              </w:rPr>
            </w:pPr>
            <w:r>
              <w:rPr>
                <w:rFonts w:hint="eastAsia" w:cs="宋体"/>
                <w:kern w:val="0"/>
                <w:sz w:val="15"/>
                <w:szCs w:val="15"/>
              </w:rPr>
              <w:t>森林覆盖率（％）</w:t>
            </w:r>
          </w:p>
        </w:tc>
        <w:tc>
          <w:tcPr>
            <w:tcW w:w="1493" w:type="dxa"/>
            <w:noWrap w:val="0"/>
            <w:vAlign w:val="center"/>
          </w:tcPr>
          <w:p w14:paraId="178F7F2D">
            <w:pPr>
              <w:widowControl/>
              <w:snapToGrid w:val="0"/>
              <w:jc w:val="center"/>
              <w:rPr>
                <w:rFonts w:cs="宋体"/>
                <w:kern w:val="0"/>
                <w:sz w:val="15"/>
                <w:szCs w:val="15"/>
              </w:rPr>
            </w:pPr>
            <w:r>
              <w:rPr>
                <w:rFonts w:hint="eastAsia" w:cs="宋体"/>
                <w:kern w:val="0"/>
                <w:sz w:val="15"/>
                <w:szCs w:val="15"/>
              </w:rPr>
              <w:t>59.6</w:t>
            </w:r>
          </w:p>
        </w:tc>
        <w:tc>
          <w:tcPr>
            <w:tcW w:w="1014" w:type="dxa"/>
            <w:noWrap w:val="0"/>
            <w:vAlign w:val="center"/>
          </w:tcPr>
          <w:p w14:paraId="2E73912C">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602EC587">
            <w:pPr>
              <w:widowControl/>
              <w:snapToGrid w:val="0"/>
              <w:jc w:val="center"/>
              <w:rPr>
                <w:rFonts w:cs="宋体"/>
                <w:kern w:val="0"/>
                <w:sz w:val="15"/>
                <w:szCs w:val="15"/>
              </w:rPr>
            </w:pPr>
            <w:r>
              <w:rPr>
                <w:rFonts w:hint="eastAsia" w:cs="宋体"/>
                <w:kern w:val="0"/>
                <w:sz w:val="15"/>
                <w:szCs w:val="15"/>
              </w:rPr>
              <w:t>60</w:t>
            </w:r>
          </w:p>
        </w:tc>
        <w:tc>
          <w:tcPr>
            <w:tcW w:w="1954" w:type="dxa"/>
            <w:noWrap w:val="0"/>
            <w:vAlign w:val="center"/>
          </w:tcPr>
          <w:p w14:paraId="33988511">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5DD34627">
            <w:pPr>
              <w:widowControl/>
              <w:snapToGrid w:val="0"/>
              <w:jc w:val="center"/>
              <w:rPr>
                <w:rFonts w:cs="宋体"/>
                <w:kern w:val="0"/>
                <w:sz w:val="15"/>
                <w:szCs w:val="15"/>
              </w:rPr>
            </w:pPr>
            <w:r>
              <w:rPr>
                <w:rFonts w:hint="eastAsia" w:cs="宋体"/>
                <w:kern w:val="0"/>
                <w:sz w:val="15"/>
                <w:szCs w:val="15"/>
              </w:rPr>
              <w:t>约束性</w:t>
            </w:r>
          </w:p>
        </w:tc>
        <w:tc>
          <w:tcPr>
            <w:tcW w:w="1762" w:type="dxa"/>
            <w:noWrap w:val="0"/>
            <w:vAlign w:val="center"/>
          </w:tcPr>
          <w:p w14:paraId="3F6A74B5">
            <w:pPr>
              <w:widowControl/>
              <w:snapToGrid w:val="0"/>
              <w:jc w:val="center"/>
              <w:rPr>
                <w:rFonts w:cs="宋体"/>
                <w:kern w:val="0"/>
                <w:sz w:val="15"/>
                <w:szCs w:val="15"/>
              </w:rPr>
            </w:pPr>
            <w:r>
              <w:rPr>
                <w:rFonts w:hint="eastAsia" w:cs="宋体"/>
                <w:kern w:val="0"/>
                <w:sz w:val="15"/>
                <w:szCs w:val="15"/>
              </w:rPr>
              <w:t>自然资源局</w:t>
            </w:r>
          </w:p>
        </w:tc>
      </w:tr>
      <w:tr w14:paraId="3DC1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43" w:type="dxa"/>
            <w:vMerge w:val="continue"/>
            <w:noWrap w:val="0"/>
            <w:vAlign w:val="center"/>
          </w:tcPr>
          <w:p w14:paraId="7EBA2DE9">
            <w:pPr>
              <w:widowControl/>
              <w:snapToGrid w:val="0"/>
              <w:jc w:val="center"/>
              <w:rPr>
                <w:rFonts w:cs="宋体"/>
                <w:kern w:val="0"/>
                <w:sz w:val="15"/>
                <w:szCs w:val="15"/>
              </w:rPr>
            </w:pPr>
          </w:p>
        </w:tc>
        <w:tc>
          <w:tcPr>
            <w:tcW w:w="649" w:type="dxa"/>
            <w:vMerge w:val="continue"/>
            <w:noWrap w:val="0"/>
            <w:vAlign w:val="center"/>
          </w:tcPr>
          <w:p w14:paraId="6D14B043">
            <w:pPr>
              <w:widowControl/>
              <w:snapToGrid w:val="0"/>
              <w:jc w:val="center"/>
              <w:rPr>
                <w:rFonts w:cs="宋体"/>
                <w:kern w:val="0"/>
                <w:sz w:val="15"/>
                <w:szCs w:val="15"/>
              </w:rPr>
            </w:pPr>
          </w:p>
        </w:tc>
        <w:tc>
          <w:tcPr>
            <w:tcW w:w="575" w:type="dxa"/>
            <w:noWrap w:val="0"/>
            <w:vAlign w:val="center"/>
          </w:tcPr>
          <w:p w14:paraId="4311A027">
            <w:pPr>
              <w:widowControl/>
              <w:snapToGrid w:val="0"/>
              <w:jc w:val="center"/>
              <w:rPr>
                <w:rFonts w:cs="宋体"/>
                <w:kern w:val="0"/>
                <w:sz w:val="15"/>
                <w:szCs w:val="15"/>
              </w:rPr>
            </w:pPr>
            <w:r>
              <w:rPr>
                <w:rFonts w:cs="宋体"/>
                <w:kern w:val="0"/>
                <w:sz w:val="15"/>
                <w:szCs w:val="15"/>
              </w:rPr>
              <w:t>29</w:t>
            </w:r>
          </w:p>
        </w:tc>
        <w:tc>
          <w:tcPr>
            <w:tcW w:w="3134" w:type="dxa"/>
            <w:noWrap w:val="0"/>
            <w:vAlign w:val="center"/>
          </w:tcPr>
          <w:p w14:paraId="46C3B18D">
            <w:pPr>
              <w:widowControl/>
              <w:snapToGrid w:val="0"/>
              <w:jc w:val="left"/>
              <w:rPr>
                <w:rFonts w:cs="宋体"/>
                <w:kern w:val="0"/>
                <w:sz w:val="15"/>
                <w:szCs w:val="15"/>
              </w:rPr>
            </w:pPr>
            <w:r>
              <w:rPr>
                <w:rFonts w:hint="eastAsia" w:cs="宋体"/>
                <w:kern w:val="0"/>
                <w:sz w:val="15"/>
                <w:szCs w:val="15"/>
              </w:rPr>
              <w:t>集中式饮用水源地水质达标率(％)</w:t>
            </w:r>
          </w:p>
        </w:tc>
        <w:tc>
          <w:tcPr>
            <w:tcW w:w="1493" w:type="dxa"/>
            <w:noWrap w:val="0"/>
            <w:vAlign w:val="center"/>
          </w:tcPr>
          <w:p w14:paraId="6E866381">
            <w:pPr>
              <w:widowControl/>
              <w:snapToGrid w:val="0"/>
              <w:jc w:val="center"/>
              <w:rPr>
                <w:rFonts w:cs="宋体"/>
                <w:kern w:val="0"/>
                <w:sz w:val="15"/>
                <w:szCs w:val="15"/>
              </w:rPr>
            </w:pPr>
            <w:r>
              <w:rPr>
                <w:rFonts w:hint="eastAsia" w:cs="宋体"/>
                <w:kern w:val="0"/>
                <w:sz w:val="15"/>
                <w:szCs w:val="15"/>
              </w:rPr>
              <w:t>100</w:t>
            </w:r>
          </w:p>
        </w:tc>
        <w:tc>
          <w:tcPr>
            <w:tcW w:w="1014" w:type="dxa"/>
            <w:noWrap w:val="0"/>
            <w:vAlign w:val="center"/>
          </w:tcPr>
          <w:p w14:paraId="67565EF9">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3F3EA9C2">
            <w:pPr>
              <w:widowControl/>
              <w:snapToGrid w:val="0"/>
              <w:jc w:val="center"/>
              <w:rPr>
                <w:rFonts w:cs="宋体"/>
                <w:kern w:val="0"/>
                <w:sz w:val="15"/>
                <w:szCs w:val="15"/>
              </w:rPr>
            </w:pPr>
            <w:r>
              <w:rPr>
                <w:rFonts w:hint="eastAsia" w:cs="宋体"/>
                <w:kern w:val="0"/>
                <w:sz w:val="15"/>
                <w:szCs w:val="15"/>
              </w:rPr>
              <w:t>100</w:t>
            </w:r>
          </w:p>
        </w:tc>
        <w:tc>
          <w:tcPr>
            <w:tcW w:w="1954" w:type="dxa"/>
            <w:noWrap w:val="0"/>
            <w:vAlign w:val="center"/>
          </w:tcPr>
          <w:p w14:paraId="0C3397DF">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1CFFBED1">
            <w:pPr>
              <w:widowControl/>
              <w:snapToGrid w:val="0"/>
              <w:jc w:val="center"/>
              <w:rPr>
                <w:rFonts w:cs="宋体"/>
                <w:kern w:val="0"/>
                <w:sz w:val="15"/>
                <w:szCs w:val="15"/>
              </w:rPr>
            </w:pPr>
            <w:r>
              <w:rPr>
                <w:rFonts w:hint="eastAsia" w:cs="宋体"/>
                <w:kern w:val="0"/>
                <w:sz w:val="15"/>
                <w:szCs w:val="15"/>
              </w:rPr>
              <w:t>约束性</w:t>
            </w:r>
          </w:p>
        </w:tc>
        <w:tc>
          <w:tcPr>
            <w:tcW w:w="1762" w:type="dxa"/>
            <w:noWrap w:val="0"/>
            <w:vAlign w:val="center"/>
          </w:tcPr>
          <w:p w14:paraId="37021BD5">
            <w:pPr>
              <w:widowControl/>
              <w:snapToGrid w:val="0"/>
              <w:jc w:val="center"/>
              <w:rPr>
                <w:rFonts w:cs="宋体"/>
                <w:kern w:val="0"/>
                <w:sz w:val="15"/>
                <w:szCs w:val="15"/>
              </w:rPr>
            </w:pPr>
            <w:r>
              <w:rPr>
                <w:rFonts w:hint="eastAsia" w:cs="宋体"/>
                <w:kern w:val="0"/>
                <w:sz w:val="15"/>
                <w:szCs w:val="15"/>
              </w:rPr>
              <w:t>市生态环境局息烽分局</w:t>
            </w:r>
          </w:p>
        </w:tc>
      </w:tr>
      <w:tr w14:paraId="24B8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43" w:type="dxa"/>
            <w:vMerge w:val="continue"/>
            <w:noWrap w:val="0"/>
            <w:vAlign w:val="center"/>
          </w:tcPr>
          <w:p w14:paraId="51854162">
            <w:pPr>
              <w:widowControl/>
              <w:snapToGrid w:val="0"/>
              <w:jc w:val="center"/>
              <w:rPr>
                <w:rFonts w:cs="宋体"/>
                <w:kern w:val="0"/>
                <w:sz w:val="15"/>
                <w:szCs w:val="15"/>
              </w:rPr>
            </w:pPr>
          </w:p>
        </w:tc>
        <w:tc>
          <w:tcPr>
            <w:tcW w:w="649" w:type="dxa"/>
            <w:vMerge w:val="continue"/>
            <w:noWrap w:val="0"/>
            <w:vAlign w:val="center"/>
          </w:tcPr>
          <w:p w14:paraId="39690490">
            <w:pPr>
              <w:widowControl/>
              <w:snapToGrid w:val="0"/>
              <w:jc w:val="center"/>
              <w:rPr>
                <w:rFonts w:cs="宋体"/>
                <w:kern w:val="0"/>
                <w:sz w:val="15"/>
                <w:szCs w:val="15"/>
              </w:rPr>
            </w:pPr>
          </w:p>
        </w:tc>
        <w:tc>
          <w:tcPr>
            <w:tcW w:w="575" w:type="dxa"/>
            <w:noWrap w:val="0"/>
            <w:vAlign w:val="center"/>
          </w:tcPr>
          <w:p w14:paraId="27E8D12F">
            <w:pPr>
              <w:widowControl/>
              <w:snapToGrid w:val="0"/>
              <w:jc w:val="center"/>
              <w:rPr>
                <w:rFonts w:cs="宋体"/>
                <w:kern w:val="0"/>
                <w:sz w:val="15"/>
                <w:szCs w:val="15"/>
              </w:rPr>
            </w:pPr>
            <w:r>
              <w:rPr>
                <w:rFonts w:cs="宋体"/>
                <w:kern w:val="0"/>
                <w:sz w:val="15"/>
                <w:szCs w:val="15"/>
              </w:rPr>
              <w:t>30</w:t>
            </w:r>
          </w:p>
        </w:tc>
        <w:tc>
          <w:tcPr>
            <w:tcW w:w="3134" w:type="dxa"/>
            <w:noWrap w:val="0"/>
            <w:vAlign w:val="center"/>
          </w:tcPr>
          <w:p w14:paraId="4583267D">
            <w:pPr>
              <w:widowControl/>
              <w:snapToGrid w:val="0"/>
              <w:jc w:val="left"/>
              <w:rPr>
                <w:rFonts w:cs="宋体"/>
                <w:kern w:val="0"/>
                <w:sz w:val="15"/>
                <w:szCs w:val="15"/>
              </w:rPr>
            </w:pPr>
            <w:r>
              <w:rPr>
                <w:rFonts w:hint="eastAsia" w:cs="宋体"/>
                <w:kern w:val="0"/>
                <w:sz w:val="15"/>
                <w:szCs w:val="15"/>
              </w:rPr>
              <w:t>工业固废综合利用率（％）</w:t>
            </w:r>
          </w:p>
        </w:tc>
        <w:tc>
          <w:tcPr>
            <w:tcW w:w="1493" w:type="dxa"/>
            <w:noWrap w:val="0"/>
            <w:vAlign w:val="center"/>
          </w:tcPr>
          <w:p w14:paraId="068C37C7">
            <w:pPr>
              <w:widowControl/>
              <w:snapToGrid w:val="0"/>
              <w:jc w:val="center"/>
              <w:rPr>
                <w:rFonts w:cs="宋体"/>
                <w:kern w:val="0"/>
                <w:sz w:val="15"/>
                <w:szCs w:val="15"/>
              </w:rPr>
            </w:pPr>
            <w:r>
              <w:rPr>
                <w:rFonts w:hint="eastAsia" w:cs="宋体"/>
                <w:kern w:val="0"/>
                <w:sz w:val="15"/>
                <w:szCs w:val="15"/>
              </w:rPr>
              <w:t>47.20</w:t>
            </w:r>
          </w:p>
        </w:tc>
        <w:tc>
          <w:tcPr>
            <w:tcW w:w="1014" w:type="dxa"/>
            <w:noWrap w:val="0"/>
            <w:vAlign w:val="center"/>
          </w:tcPr>
          <w:p w14:paraId="645FDC2F">
            <w:pPr>
              <w:widowControl/>
              <w:snapToGrid w:val="0"/>
              <w:jc w:val="center"/>
              <w:rPr>
                <w:rFonts w:cs="宋体"/>
                <w:kern w:val="0"/>
                <w:sz w:val="15"/>
                <w:szCs w:val="15"/>
              </w:rPr>
            </w:pPr>
            <w:r>
              <w:rPr>
                <w:rFonts w:hint="eastAsia" w:cs="宋体"/>
                <w:kern w:val="0"/>
                <w:sz w:val="15"/>
                <w:szCs w:val="15"/>
              </w:rPr>
              <w:t>——</w:t>
            </w:r>
          </w:p>
        </w:tc>
        <w:tc>
          <w:tcPr>
            <w:tcW w:w="1301" w:type="dxa"/>
            <w:noWrap w:val="0"/>
            <w:vAlign w:val="center"/>
          </w:tcPr>
          <w:p w14:paraId="4878CF24">
            <w:pPr>
              <w:widowControl/>
              <w:snapToGrid w:val="0"/>
              <w:jc w:val="center"/>
              <w:rPr>
                <w:rFonts w:cs="宋体"/>
                <w:kern w:val="0"/>
                <w:sz w:val="15"/>
                <w:szCs w:val="15"/>
              </w:rPr>
            </w:pPr>
            <w:r>
              <w:rPr>
                <w:rFonts w:hint="eastAsia" w:cs="宋体"/>
                <w:kern w:val="0"/>
                <w:sz w:val="15"/>
                <w:szCs w:val="15"/>
              </w:rPr>
              <w:t>达到省市要求</w:t>
            </w:r>
          </w:p>
        </w:tc>
        <w:tc>
          <w:tcPr>
            <w:tcW w:w="1954" w:type="dxa"/>
            <w:noWrap w:val="0"/>
            <w:vAlign w:val="center"/>
          </w:tcPr>
          <w:p w14:paraId="07E0C9BC">
            <w:pPr>
              <w:widowControl/>
              <w:snapToGrid w:val="0"/>
              <w:jc w:val="center"/>
              <w:rPr>
                <w:rFonts w:cs="宋体"/>
                <w:kern w:val="0"/>
                <w:sz w:val="15"/>
                <w:szCs w:val="15"/>
              </w:rPr>
            </w:pPr>
            <w:r>
              <w:rPr>
                <w:rFonts w:hint="eastAsia" w:cs="宋体"/>
                <w:kern w:val="0"/>
                <w:sz w:val="15"/>
                <w:szCs w:val="15"/>
              </w:rPr>
              <w:t>——</w:t>
            </w:r>
          </w:p>
        </w:tc>
        <w:tc>
          <w:tcPr>
            <w:tcW w:w="1513" w:type="dxa"/>
            <w:noWrap w:val="0"/>
            <w:vAlign w:val="center"/>
          </w:tcPr>
          <w:p w14:paraId="482D1FF8">
            <w:pPr>
              <w:widowControl/>
              <w:snapToGrid w:val="0"/>
              <w:jc w:val="center"/>
              <w:rPr>
                <w:rFonts w:cs="宋体"/>
                <w:kern w:val="0"/>
                <w:sz w:val="15"/>
                <w:szCs w:val="15"/>
              </w:rPr>
            </w:pPr>
            <w:r>
              <w:rPr>
                <w:rFonts w:hint="eastAsia" w:cs="宋体"/>
                <w:kern w:val="0"/>
                <w:sz w:val="15"/>
                <w:szCs w:val="15"/>
              </w:rPr>
              <w:t>约束性</w:t>
            </w:r>
          </w:p>
        </w:tc>
        <w:tc>
          <w:tcPr>
            <w:tcW w:w="1762" w:type="dxa"/>
            <w:noWrap w:val="0"/>
            <w:vAlign w:val="center"/>
          </w:tcPr>
          <w:p w14:paraId="6A52A122">
            <w:pPr>
              <w:widowControl/>
              <w:snapToGrid w:val="0"/>
              <w:jc w:val="center"/>
              <w:rPr>
                <w:rFonts w:cs="宋体"/>
                <w:kern w:val="0"/>
                <w:sz w:val="15"/>
                <w:szCs w:val="15"/>
              </w:rPr>
            </w:pPr>
            <w:r>
              <w:rPr>
                <w:rFonts w:hint="eastAsia" w:cs="宋体"/>
                <w:kern w:val="0"/>
                <w:sz w:val="15"/>
                <w:szCs w:val="15"/>
              </w:rPr>
              <w:t>工信局</w:t>
            </w:r>
          </w:p>
        </w:tc>
      </w:tr>
    </w:tbl>
    <w:p w14:paraId="4723DE7C">
      <w:pPr>
        <w:rPr>
          <w:rFonts w:ascii="方正小标宋简体" w:hAnsi="方正小标宋简体" w:eastAsia="方正小标宋简体" w:cs="方正小标宋简体"/>
          <w:sz w:val="36"/>
          <w:szCs w:val="36"/>
        </w:rPr>
        <w:sectPr>
          <w:pgSz w:w="16838" w:h="11906" w:orient="landscape"/>
          <w:pgMar w:top="1800" w:right="1440" w:bottom="1800" w:left="1440" w:header="851" w:footer="992" w:gutter="0"/>
          <w:pgNumType w:fmt="decimal"/>
          <w:cols w:space="720" w:num="1"/>
          <w:docGrid w:type="lines" w:linePitch="312" w:charSpace="0"/>
        </w:sectPr>
      </w:pPr>
    </w:p>
    <w:p w14:paraId="50B1B41A">
      <w:pPr>
        <w:numPr>
          <w:ilvl w:val="0"/>
          <w:numId w:val="1"/>
        </w:numPr>
        <w:jc w:val="center"/>
        <w:outlineLvl w:val="0"/>
        <w:rPr>
          <w:rFonts w:ascii="方正小标宋简体" w:hAnsi="方正小标宋简体" w:eastAsia="方正小标宋简体" w:cs="方正小标宋简体"/>
          <w:b w:val="0"/>
          <w:bCs w:val="0"/>
          <w:sz w:val="36"/>
          <w:szCs w:val="36"/>
        </w:rPr>
      </w:pPr>
      <w:bookmarkStart w:id="72" w:name="_Toc61193781"/>
      <w:bookmarkStart w:id="73" w:name="_Toc5092"/>
      <w:bookmarkStart w:id="74" w:name="_Toc27566"/>
      <w:bookmarkStart w:id="75" w:name="_Toc6686"/>
      <w:bookmarkStart w:id="76" w:name="_Toc32110"/>
      <w:bookmarkStart w:id="77" w:name="_Toc29348"/>
      <w:bookmarkStart w:id="78" w:name="_Toc32168"/>
      <w:bookmarkStart w:id="79" w:name="_Toc22627"/>
      <w:bookmarkStart w:id="80" w:name="_Toc1044"/>
      <w:bookmarkStart w:id="81" w:name="_Toc32204"/>
      <w:bookmarkStart w:id="82" w:name="_Toc4758"/>
      <w:r>
        <w:rPr>
          <w:rFonts w:hint="eastAsia" w:ascii="方正小标宋简体" w:hAnsi="方正小标宋简体" w:eastAsia="方正小标宋简体" w:cs="方正小标宋简体"/>
          <w:b w:val="0"/>
          <w:bCs w:val="0"/>
          <w:sz w:val="36"/>
          <w:szCs w:val="36"/>
          <w:lang w:val="en-US" w:eastAsia="zh-CN"/>
        </w:rPr>
        <w:t xml:space="preserve"> </w:t>
      </w:r>
      <w:r>
        <w:rPr>
          <w:rFonts w:ascii="方正小标宋简体" w:hAnsi="方正小标宋简体" w:eastAsia="方正小标宋简体" w:cs="方正小标宋简体"/>
          <w:b w:val="0"/>
          <w:bCs w:val="0"/>
          <w:sz w:val="36"/>
          <w:szCs w:val="36"/>
        </w:rPr>
        <w:t xml:space="preserve"> </w:t>
      </w:r>
      <w:bookmarkStart w:id="83" w:name="_Toc11146"/>
      <w:bookmarkStart w:id="84" w:name="_Toc1197"/>
      <w:bookmarkStart w:id="85" w:name="_Toc7996"/>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加快全面开放步伐</w:t>
      </w:r>
      <w:bookmarkEnd w:id="83"/>
      <w:r>
        <w:rPr>
          <w:rFonts w:hint="eastAsia" w:ascii="方正小标宋简体" w:hAnsi="方正小标宋简体" w:eastAsia="方正小标宋简体" w:cs="方正小标宋简体"/>
          <w:b w:val="0"/>
          <w:bCs w:val="0"/>
          <w:sz w:val="36"/>
          <w:szCs w:val="36"/>
          <w:lang w:val="en-US" w:eastAsia="zh-CN"/>
        </w:rPr>
        <w:t xml:space="preserve">  </w:t>
      </w:r>
      <w:bookmarkStart w:id="86" w:name="_Toc27089"/>
      <w:r>
        <w:rPr>
          <w:rFonts w:hint="eastAsia" w:ascii="方正小标宋简体" w:hAnsi="方正小标宋简体" w:eastAsia="方正小标宋简体" w:cs="方正小标宋简体"/>
          <w:b w:val="0"/>
          <w:bCs w:val="0"/>
          <w:sz w:val="36"/>
          <w:szCs w:val="36"/>
          <w:lang w:val="en-US" w:eastAsia="zh-CN"/>
        </w:rPr>
        <w:t>高质量</w:t>
      </w:r>
      <w:r>
        <w:rPr>
          <w:rFonts w:hint="eastAsia" w:ascii="方正小标宋简体" w:hAnsi="方正小标宋简体" w:eastAsia="方正小标宋简体" w:cs="方正小标宋简体"/>
          <w:b w:val="0"/>
          <w:bCs w:val="0"/>
          <w:sz w:val="36"/>
          <w:szCs w:val="36"/>
        </w:rPr>
        <w:t>融入经济体量大能级城市</w:t>
      </w:r>
      <w:bookmarkEnd w:id="72"/>
      <w:bookmarkEnd w:id="73"/>
      <w:bookmarkEnd w:id="74"/>
      <w:bookmarkEnd w:id="75"/>
      <w:bookmarkEnd w:id="84"/>
      <w:bookmarkEnd w:id="85"/>
      <w:bookmarkEnd w:id="86"/>
    </w:p>
    <w:p w14:paraId="0B4884FD">
      <w:pPr>
        <w:spacing w:line="5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把推动贵阳贵安融合发展作为重大历史机遇，坚持内外统筹、融通发展，把深度融入贵阳贵安经济体量大能级城市建设同融入“双循环”新发展格局有机衔接起来，深入实施高水平对外开放战略，推动区域空间布局整体优化、功能体系整体完善、发展能级整体提升，全力打造全方位开放发展新亮点</w:t>
      </w:r>
      <w:r>
        <w:rPr>
          <w:rFonts w:hint="eastAsia" w:ascii="Times New Roman" w:hAnsi="Times New Roman" w:eastAsia="仿宋_GB2312" w:cs="Times New Roman"/>
          <w:sz w:val="32"/>
          <w:szCs w:val="32"/>
          <w:lang w:eastAsia="zh-CN"/>
        </w:rPr>
        <w:t>，努力把息烽建设成为贵阳贵安经济体量大能级城市建设北部重要战略支点</w:t>
      </w:r>
      <w:r>
        <w:rPr>
          <w:rFonts w:hint="eastAsia" w:ascii="Times New Roman" w:hAnsi="Times New Roman" w:eastAsia="仿宋_GB2312" w:cs="Times New Roman"/>
          <w:sz w:val="32"/>
          <w:szCs w:val="32"/>
        </w:rPr>
        <w:t>。</w:t>
      </w:r>
    </w:p>
    <w:p w14:paraId="6CC7FD91">
      <w:pPr>
        <w:widowControl/>
        <w:jc w:val="center"/>
        <w:outlineLvl w:val="1"/>
        <w:rPr>
          <w:rFonts w:ascii="方正小标宋简体" w:hAnsi="方正小标宋简体" w:eastAsia="方正小标宋简体" w:cs="方正小标宋简体"/>
          <w:b w:val="0"/>
          <w:bCs w:val="0"/>
          <w:sz w:val="32"/>
          <w:szCs w:val="32"/>
        </w:rPr>
      </w:pPr>
      <w:bookmarkStart w:id="87" w:name="_Toc5988"/>
      <w:bookmarkStart w:id="88" w:name="_Toc9436"/>
      <w:bookmarkStart w:id="89" w:name="_Toc27218"/>
      <w:bookmarkStart w:id="90" w:name="_Toc31110"/>
      <w:bookmarkStart w:id="91" w:name="_Toc21177"/>
      <w:bookmarkStart w:id="92" w:name="_Toc22479"/>
      <w:bookmarkStart w:id="93" w:name="_Toc61193782"/>
      <w:r>
        <w:rPr>
          <w:rFonts w:hint="eastAsia" w:ascii="方正小标宋简体" w:hAnsi="方正小标宋简体" w:eastAsia="方正小标宋简体" w:cs="方正小标宋简体"/>
          <w:b w:val="0"/>
          <w:bCs w:val="0"/>
          <w:sz w:val="32"/>
          <w:szCs w:val="32"/>
        </w:rPr>
        <w:t>第一节  找准主动参与融合发展切入点</w:t>
      </w:r>
      <w:bookmarkEnd w:id="87"/>
      <w:bookmarkEnd w:id="88"/>
      <w:bookmarkEnd w:id="89"/>
      <w:bookmarkEnd w:id="90"/>
      <w:bookmarkEnd w:id="91"/>
      <w:bookmarkEnd w:id="92"/>
      <w:bookmarkEnd w:id="93"/>
    </w:p>
    <w:p w14:paraId="4EF7D00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以“强省会”五年行动为战略牵引，充分利用省内省外两个市场两种资源，找准方向，明确路径，实现全面融入和深度融合。对内加强与贵阳贵安等区域城市的创新链接、开放对接、要素衔接，主动接受省市在教育、医疗、科技等方面的辐射引领。加强与周边遵义、毕节等相邻城市区域的合作，在推动产业融合、设施互通、服务共享上谋划打造一批先行先试支撑载体，共同抓好协同联动合作项目落地，实现经济循环流转和产业关联畅通。对外紧紧扭住扩大内需这个战略基点，</w:t>
      </w:r>
      <w:r>
        <w:rPr>
          <w:rFonts w:hint="eastAsia" w:ascii="仿宋_GB2312" w:hAnsi="仿宋_GB2312" w:eastAsia="仿宋_GB2312" w:cs="仿宋_GB2312"/>
          <w:sz w:val="32"/>
          <w:szCs w:val="40"/>
        </w:rPr>
        <w:t>立足“东部+”，</w:t>
      </w:r>
      <w:r>
        <w:rPr>
          <w:rFonts w:hint="eastAsia" w:ascii="Times New Roman" w:hAnsi="Times New Roman" w:eastAsia="仿宋_GB2312" w:cs="Times New Roman"/>
          <w:sz w:val="32"/>
          <w:szCs w:val="32"/>
        </w:rPr>
        <w:t>积极抢抓“一带一路”建设、长江经济带发展、粤港澳大湾区建设、成渝地区双城经济圈建设机遇，深入实施“南承北接、东出西联”战略，不断优化各类开放合作功能区布局和功能定位，探索实施“双飞地”经济模式，不断增强中高端要素、优质产业、先进功能、规模人口的集聚承载能力，推动息烽更好对接服务贵阳贵安经济体量大能级城市建设。</w:t>
      </w:r>
    </w:p>
    <w:p w14:paraId="4DDB7392">
      <w:pPr>
        <w:jc w:val="left"/>
        <w:rPr>
          <w:rFonts w:ascii="方正小标宋简体" w:hAnsi="方正小标宋简体" w:eastAsia="方正小标宋简体" w:cs="方正小标宋简体"/>
          <w:b/>
          <w:bCs/>
          <w:sz w:val="32"/>
          <w:szCs w:val="32"/>
        </w:rPr>
      </w:pPr>
    </w:p>
    <w:p w14:paraId="38910311">
      <w:pPr>
        <w:widowControl/>
        <w:jc w:val="center"/>
        <w:outlineLvl w:val="1"/>
        <w:rPr>
          <w:rFonts w:ascii="Times New Roman" w:hAnsi="Times New Roman" w:eastAsia="仿宋_GB2312" w:cs="Times New Roman"/>
          <w:sz w:val="32"/>
          <w:szCs w:val="32"/>
        </w:rPr>
      </w:pPr>
      <w:bookmarkStart w:id="94" w:name="_Toc61193783"/>
      <w:bookmarkStart w:id="95" w:name="_Toc6662"/>
      <w:bookmarkStart w:id="96" w:name="_Toc30167"/>
      <w:bookmarkStart w:id="97" w:name="_Toc13131"/>
      <w:bookmarkStart w:id="98" w:name="_Toc19603"/>
      <w:bookmarkStart w:id="99" w:name="_Toc6682"/>
      <w:bookmarkStart w:id="100" w:name="_Toc4092"/>
      <w:r>
        <w:rPr>
          <w:rFonts w:hint="eastAsia" w:ascii="方正小标宋简体" w:hAnsi="方正小标宋简体" w:eastAsia="方正小标宋简体" w:cs="方正小标宋简体"/>
          <w:b w:val="0"/>
          <w:bCs w:val="0"/>
          <w:sz w:val="32"/>
          <w:szCs w:val="32"/>
        </w:rPr>
        <w:t>第二节  全力提升对外开放承载力</w:t>
      </w:r>
      <w:bookmarkEnd w:id="94"/>
      <w:bookmarkEnd w:id="95"/>
      <w:bookmarkEnd w:id="96"/>
      <w:bookmarkEnd w:id="97"/>
      <w:bookmarkEnd w:id="98"/>
      <w:bookmarkEnd w:id="99"/>
      <w:bookmarkEnd w:id="100"/>
    </w:p>
    <w:p w14:paraId="7BDCF70E">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标贵阳贵安规划建设，高质量编制国土空间总体规划，确保一张蓝图干到底。围绕“一轴一环”城市骨架，坚持点面支撑、多点发力，加快推进县城“南移西扩北联”，梯次推动城乡融合发展，全面推进南部城市扩展区、西部产城融合区、北部工业集聚区“三区”建设，到2035年县城建成区达20平方公里，总人口达40万人。以优化提升、协同融合为导向，开展县城基础设施补短板行动，积极谋划有利于协调推进新型城镇化和乡村振兴、促进城乡区域协调发展、促进产业升级和产城融合、保障生态安全、增强基础支撑能力的重大工程和重大项目建设。支持各乡（镇、街道）立足资源环境承载能力，发挥比较优势竞相发展，形成更多高质量发展增长极增长点。</w:t>
      </w:r>
    </w:p>
    <w:p w14:paraId="25B45221">
      <w:pPr>
        <w:spacing w:line="520" w:lineRule="exact"/>
        <w:rPr>
          <w:rFonts w:ascii="黑体" w:hAnsi="黑体" w:eastAsia="黑体"/>
          <w:b/>
          <w:bCs/>
          <w:sz w:val="32"/>
          <w:szCs w:val="32"/>
        </w:rPr>
      </w:pPr>
      <w:r>
        <w:rPr>
          <w:rFonts w:hint="eastAsia" w:ascii="方正小标宋简体" w:hAnsi="方正小标宋简体" w:eastAsia="方正小标宋简体" w:cs="方正小标宋简体"/>
          <w:b/>
          <w:bCs/>
          <w:sz w:val="32"/>
          <w:szCs w:val="32"/>
        </w:rPr>
        <w:t xml:space="preserve">    </w:t>
      </w:r>
      <w:r>
        <w:rPr>
          <w:rFonts w:hint="eastAsia" w:ascii="黑体" w:hAnsi="黑体" w:eastAsia="黑体"/>
          <w:b/>
          <w:bCs/>
          <w:sz w:val="32"/>
          <w:szCs w:val="32"/>
        </w:rPr>
        <w:t>一、加快互联互通开放通道建设</w:t>
      </w:r>
    </w:p>
    <w:p w14:paraId="450A0746">
      <w:pPr>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以提升内联外通水平为导向，争创全国“四好农村路”示范县，做好高速公路、国道、省道与磷化工、新型建材、装备制造、特色食品等四大产业功能区、铁路枢纽、旅游景区等节点的有效衔接；推动养温公路干线扩展等公路新建和改造项目，加快推进双石互通连接线及青山苗族乡至息烽南收费站干线建设，优化同城大道、温泉节能环保产业园区等区域路网，强化息烽交通枢纽功能；加快同城大道息烽段建设，对接修文及白云大道、白金大道、同城大道，提高交通保障能力；扎实抓好贵金古高速公路协调建设工作，依托川黔铁路、渝贵快铁、兰海高速、同城大道及江都高速“四纵一横”贯境交通线路，加快构建互联互通、管理协同、安全高效的基础设施网络。加快推进息烽港建设，打通水运大通道，推进物流网络和交通商贸物流优化升级，打造效率高、成本低、服务优的贸易枢纽节点城市。</w:t>
      </w:r>
    </w:p>
    <w:p w14:paraId="1DFB59A2">
      <w:pPr>
        <w:spacing w:line="52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二、加强开放平台建设</w:t>
      </w:r>
      <w:r>
        <w:rPr>
          <w:rFonts w:hint="eastAsia" w:ascii="仿宋_GB2312" w:hAnsi="仿宋_GB2312" w:eastAsia="仿宋_GB2312" w:cs="仿宋_GB2312"/>
          <w:b/>
          <w:bCs/>
          <w:sz w:val="32"/>
          <w:szCs w:val="32"/>
        </w:rPr>
        <w:t>。把经开区作为对外开放的重要载体。</w:t>
      </w:r>
      <w:r>
        <w:rPr>
          <w:rFonts w:hint="eastAsia" w:ascii="仿宋_GB2312" w:hAnsi="仿宋_GB2312" w:eastAsia="仿宋_GB2312" w:cs="仿宋_GB2312"/>
          <w:sz w:val="32"/>
          <w:szCs w:val="32"/>
        </w:rPr>
        <w:t>把握息烽经开区扩区契机，扎实推进创新加速发展，全面提升经开区对外开放的承载力，积极推动经开“五区”打造。以产业平台为核心载体，主动承接贵阳市及其它发达区域中高端制造产业转移，发展飞地经济，形成区县合作，实现资源优化配置、合作互补共赢的发展模式，实现“三区三县”同城化、网络化发展，提升开放型经济发展水平。</w:t>
      </w:r>
      <w:r>
        <w:rPr>
          <w:rFonts w:hint="eastAsia" w:ascii="仿宋_GB2312" w:hAnsi="仿宋_GB2312" w:eastAsia="仿宋_GB2312" w:cs="仿宋_GB2312"/>
          <w:b/>
          <w:bCs/>
          <w:sz w:val="32"/>
          <w:szCs w:val="32"/>
        </w:rPr>
        <w:t>搭建“四大对外开放平台”。</w:t>
      </w:r>
      <w:r>
        <w:rPr>
          <w:rFonts w:hint="eastAsia" w:ascii="仿宋_GB2312" w:hAnsi="仿宋_GB2312" w:eastAsia="仿宋_GB2312" w:cs="仿宋_GB2312"/>
          <w:sz w:val="32"/>
          <w:szCs w:val="32"/>
        </w:rPr>
        <w:t>充分挖掘息烽高铁站、小寨坝及养龙司铁路货运站台、贵遵同城大道、息烽港、电商平台等开放功能潜力。抢抓贵州5G产业试点、贵阳龙洞堡国际机场空港口岸、中国（贵阳）跨境电商综合试验区等开放平台建设机遇，推进要素市场一体化，</w:t>
      </w:r>
      <w:r>
        <w:rPr>
          <w:rFonts w:ascii="仿宋_GB2312" w:hAnsi="仿宋_GB2312" w:eastAsia="仿宋_GB2312" w:cs="仿宋_GB2312"/>
          <w:sz w:val="32"/>
          <w:szCs w:val="32"/>
        </w:rPr>
        <w:t>提升整体合力和竞争力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消除各种流动障碍</w:t>
      </w:r>
      <w:r>
        <w:rPr>
          <w:rFonts w:hint="eastAsia" w:ascii="仿宋_GB2312" w:hAnsi="仿宋_GB2312" w:eastAsia="仿宋_GB2312" w:cs="仿宋_GB2312"/>
          <w:sz w:val="32"/>
          <w:szCs w:val="32"/>
        </w:rPr>
        <w:t>，逐步搭建息烽陆上、水上、空中和网上“四大对外开放平台”，逐步加大息烽对贵阳、遵义、重庆、广州、深圳等大中城市及国际开放力度。</w:t>
      </w:r>
    </w:p>
    <w:p w14:paraId="46F7133C">
      <w:pPr>
        <w:spacing w:line="52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三、推动全方位对外开放</w:t>
      </w:r>
      <w:r>
        <w:rPr>
          <w:rFonts w:hint="eastAsia" w:ascii="仿宋_GB2312" w:hAnsi="仿宋_GB2312" w:eastAsia="仿宋_GB2312" w:cs="仿宋_GB2312"/>
          <w:b/>
          <w:bCs/>
          <w:sz w:val="32"/>
          <w:szCs w:val="32"/>
        </w:rPr>
        <w:t>。夯实对外开放的基础。</w:t>
      </w:r>
      <w:r>
        <w:rPr>
          <w:rFonts w:hint="eastAsia" w:ascii="仿宋_GB2312" w:hAnsi="仿宋_GB2312" w:eastAsia="仿宋_GB2312" w:cs="仿宋_GB2312"/>
          <w:sz w:val="32"/>
          <w:szCs w:val="32"/>
        </w:rPr>
        <w:t>加快建设以息烽港及进港公路为主的对外开放新窗口，提升交通运输能力，形成公路、铁路、水运多种运输方式结合、快捷高效的现代化交通运输网络。</w:t>
      </w:r>
      <w:r>
        <w:rPr>
          <w:rFonts w:hint="eastAsia" w:ascii="Times New Roman" w:hAnsi="Times New Roman" w:eastAsia="仿宋_GB2312" w:cs="Times New Roman"/>
          <w:sz w:val="32"/>
          <w:szCs w:val="32"/>
        </w:rPr>
        <w:t>探索“安全食品溯源+电子商务+产业园区”发展模式，为贵阳市对外开放做好服务支撑。</w:t>
      </w:r>
      <w:r>
        <w:rPr>
          <w:rFonts w:hint="eastAsia" w:ascii="仿宋_GB2312" w:hAnsi="仿宋_GB2312" w:eastAsia="仿宋_GB2312" w:cs="仿宋_GB2312"/>
          <w:sz w:val="32"/>
          <w:szCs w:val="32"/>
        </w:rPr>
        <w:t>积极对接扎佐北部农产品电商物流园，</w:t>
      </w:r>
      <w:r>
        <w:rPr>
          <w:rFonts w:hint="eastAsia" w:ascii="Times New Roman" w:hAnsi="Times New Roman" w:eastAsia="仿宋_GB2312" w:cs="Times New Roman"/>
          <w:sz w:val="32"/>
          <w:szCs w:val="32"/>
        </w:rPr>
        <w:t>积极打造贵阳市农副产品精深加工基地，</w:t>
      </w:r>
      <w:r>
        <w:rPr>
          <w:rFonts w:hint="eastAsia" w:ascii="仿宋_GB2312" w:hAnsi="仿宋_GB2312" w:eastAsia="仿宋_GB2312" w:cs="仿宋_GB2312"/>
          <w:sz w:val="32"/>
          <w:szCs w:val="32"/>
        </w:rPr>
        <w:t>推动形成大物流、大配送和“互联网+”营销格局。</w:t>
      </w:r>
      <w:r>
        <w:rPr>
          <w:rFonts w:hint="eastAsia" w:ascii="仿宋_GB2312" w:hAnsi="仿宋_GB2312" w:eastAsia="仿宋_GB2312" w:cs="仿宋_GB2312"/>
          <w:b/>
          <w:bCs/>
          <w:sz w:val="32"/>
          <w:szCs w:val="32"/>
        </w:rPr>
        <w:t>推进外资外贸发展。</w:t>
      </w:r>
      <w:r>
        <w:rPr>
          <w:rFonts w:hint="eastAsia" w:ascii="仿宋_GB2312" w:hAnsi="仿宋_GB2312" w:eastAsia="仿宋_GB2312" w:cs="仿宋_GB2312"/>
          <w:sz w:val="32"/>
          <w:szCs w:val="32"/>
        </w:rPr>
        <w:t>深挖息烽现有资源，追溯企业资本根源是否为外资企业全额投资，力争利用外资有新进展。加大与贵阳拜克汽车对接协调，争取更多委托出口转化为自行报关出口。鼓励企业以中康猕猴桃、辣子鸡、吊瓜籽、虫茶等地方特色产品作为外贸商品，加快发展进出口业务。</w:t>
      </w:r>
      <w:r>
        <w:rPr>
          <w:rFonts w:hint="eastAsia" w:ascii="仿宋_GB2312" w:hAnsi="仿宋_GB2312" w:eastAsia="仿宋_GB2312" w:cs="仿宋_GB2312"/>
          <w:b/>
          <w:bCs/>
          <w:sz w:val="32"/>
          <w:szCs w:val="32"/>
        </w:rPr>
        <w:t>扩大对外合作交流空间。</w:t>
      </w:r>
      <w:r>
        <w:rPr>
          <w:rFonts w:hint="eastAsia" w:ascii="Times New Roman" w:hAnsi="Times New Roman" w:eastAsia="仿宋_GB2312" w:cs="Times New Roman"/>
          <w:sz w:val="32"/>
          <w:szCs w:val="32"/>
        </w:rPr>
        <w:t>借助贵阳市面向欧洲、日韩、东盟地区和印度开放有利契机，全力推动在电子商务、旅游、教育、投资等领域的合作。</w:t>
      </w:r>
      <w:r>
        <w:rPr>
          <w:rFonts w:hint="eastAsia" w:ascii="仿宋_GB2312" w:hAnsi="仿宋_GB2312" w:eastAsia="仿宋_GB2312" w:cs="仿宋_GB2312"/>
          <w:sz w:val="32"/>
          <w:szCs w:val="32"/>
        </w:rPr>
        <w:t>吸引更多的先进生产要素服务开放型经济发展。全力支持旅游产品和优势骨干产业“走出去”“引进来”，基本形成面向贵阳市乃至全省的全方位开放姿态，不断提升息烽知名度。到2025年，全县培育和引进跨境电商2家以上，进出口总额力争达到400万美元，实际利用外资总额力争超过1000万美元，引进和培育服务外包企业10家以上。</w:t>
      </w:r>
    </w:p>
    <w:p w14:paraId="36D858D4">
      <w:pPr>
        <w:widowControl/>
        <w:spacing w:line="560" w:lineRule="exact"/>
        <w:jc w:val="center"/>
        <w:outlineLvl w:val="1"/>
        <w:rPr>
          <w:rFonts w:hint="eastAsia" w:ascii="方正小标宋简体" w:hAnsi="方正小标宋简体" w:eastAsia="方正小标宋简体" w:cs="方正小标宋简体"/>
          <w:b w:val="0"/>
          <w:bCs w:val="0"/>
          <w:sz w:val="32"/>
          <w:szCs w:val="32"/>
        </w:rPr>
      </w:pPr>
      <w:bookmarkStart w:id="101" w:name="_Toc21609"/>
      <w:bookmarkStart w:id="102" w:name="_Toc8421"/>
      <w:bookmarkStart w:id="103" w:name="_Toc28974"/>
      <w:bookmarkStart w:id="104" w:name="_Toc61193784"/>
      <w:bookmarkStart w:id="105" w:name="_Toc28629"/>
      <w:bookmarkStart w:id="106" w:name="_Toc21833"/>
      <w:bookmarkStart w:id="107" w:name="_Toc10951"/>
      <w:r>
        <w:rPr>
          <w:rFonts w:hint="eastAsia" w:ascii="方正小标宋简体" w:hAnsi="方正小标宋简体" w:eastAsia="方正小标宋简体" w:cs="方正小标宋简体"/>
          <w:b w:val="0"/>
          <w:bCs w:val="0"/>
          <w:sz w:val="32"/>
          <w:szCs w:val="32"/>
        </w:rPr>
        <w:t>第三节  培育市场主体</w:t>
      </w:r>
      <w:bookmarkEnd w:id="101"/>
      <w:bookmarkEnd w:id="102"/>
      <w:bookmarkEnd w:id="103"/>
      <w:bookmarkEnd w:id="104"/>
      <w:bookmarkEnd w:id="105"/>
      <w:bookmarkEnd w:id="106"/>
      <w:bookmarkEnd w:id="107"/>
    </w:p>
    <w:p w14:paraId="31882BE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入实施“千企引进”工程，突出以商招商、以业引业，重点围绕生活消费品、温泉大健康消费品、磷化工转型升级、特色食品、新型建材、节能环保等产业项目，大力引进一批与“七大主导”产业集群契合的“隐形冠军”“行业领袖”。</w:t>
      </w:r>
      <w:r>
        <w:rPr>
          <w:rFonts w:ascii="Times New Roman" w:hAnsi="Times New Roman" w:eastAsia="仿宋_GB2312" w:cs="Times New Roman"/>
          <w:bCs/>
          <w:sz w:val="32"/>
          <w:szCs w:val="30"/>
        </w:rPr>
        <w:t>依托龙头企业带动</w:t>
      </w:r>
      <w:r>
        <w:rPr>
          <w:rFonts w:hint="eastAsia" w:ascii="Times New Roman" w:hAnsi="Times New Roman" w:eastAsia="仿宋_GB2312" w:cs="Times New Roman"/>
          <w:bCs/>
          <w:sz w:val="32"/>
          <w:szCs w:val="30"/>
        </w:rPr>
        <w:t>，</w:t>
      </w:r>
      <w:r>
        <w:rPr>
          <w:rFonts w:hint="eastAsia" w:ascii="Times New Roman" w:hAnsi="Times New Roman" w:eastAsia="仿宋_GB2312" w:cs="Times New Roman"/>
          <w:sz w:val="32"/>
          <w:szCs w:val="32"/>
        </w:rPr>
        <w:t>积极引进国内外先进管理理念及制作工艺、生产设备，</w:t>
      </w:r>
      <w:r>
        <w:rPr>
          <w:rFonts w:hint="eastAsia" w:ascii="Times New Roman" w:hAnsi="Times New Roman" w:eastAsia="仿宋_GB2312" w:cs="Times New Roman"/>
          <w:bCs/>
          <w:sz w:val="32"/>
          <w:szCs w:val="30"/>
        </w:rPr>
        <w:t>促进以高新技术渗透带动传统产业转型升级，全力打造新兴</w:t>
      </w:r>
      <w:r>
        <w:rPr>
          <w:rFonts w:ascii="Times New Roman" w:hAnsi="Times New Roman" w:eastAsia="仿宋_GB2312" w:cs="Times New Roman"/>
          <w:bCs/>
          <w:sz w:val="32"/>
          <w:szCs w:val="30"/>
        </w:rPr>
        <w:t>产业</w:t>
      </w:r>
      <w:r>
        <w:rPr>
          <w:rFonts w:hint="eastAsia" w:ascii="Times New Roman" w:hAnsi="Times New Roman" w:eastAsia="仿宋_GB2312" w:cs="Times New Roman"/>
          <w:bCs/>
          <w:sz w:val="32"/>
          <w:szCs w:val="30"/>
        </w:rPr>
        <w:t>和未来产业</w:t>
      </w:r>
      <w:r>
        <w:rPr>
          <w:rFonts w:ascii="Times New Roman" w:hAnsi="Times New Roman" w:eastAsia="仿宋_GB2312" w:cs="Times New Roman"/>
          <w:bCs/>
          <w:sz w:val="32"/>
          <w:szCs w:val="30"/>
        </w:rPr>
        <w:t>集群</w:t>
      </w:r>
      <w:r>
        <w:rPr>
          <w:rFonts w:hint="eastAsia" w:ascii="Times New Roman" w:hAnsi="Times New Roman" w:eastAsia="仿宋_GB2312" w:cs="Times New Roman"/>
          <w:bCs/>
          <w:sz w:val="32"/>
          <w:szCs w:val="30"/>
        </w:rPr>
        <w:t>。降低</w:t>
      </w:r>
      <w:r>
        <w:rPr>
          <w:rFonts w:hint="eastAsia" w:ascii="Times New Roman" w:hAnsi="Times New Roman" w:eastAsia="仿宋_GB2312" w:cs="Times New Roman"/>
          <w:sz w:val="32"/>
          <w:szCs w:val="32"/>
        </w:rPr>
        <w:t>服务业市场主体准入门槛，全面清理设置的不合理经营条件和限制。</w:t>
      </w:r>
      <w:r>
        <w:rPr>
          <w:rFonts w:hint="eastAsia" w:ascii="Times New Roman" w:hAnsi="Times New Roman" w:eastAsia="仿宋_GB2312" w:cs="Times New Roman"/>
          <w:bCs/>
          <w:sz w:val="32"/>
          <w:szCs w:val="30"/>
        </w:rPr>
        <w:t>加速引进一批国内知名旅游企业到县域内落户，刺激、带动本土旅游企业经营理念、商业模式和企业治理能力的全面提升。</w:t>
      </w:r>
      <w:r>
        <w:rPr>
          <w:rFonts w:hint="eastAsia" w:ascii="Times New Roman" w:hAnsi="Times New Roman" w:eastAsia="仿宋_GB2312" w:cs="Times New Roman"/>
          <w:sz w:val="32"/>
          <w:szCs w:val="32"/>
        </w:rPr>
        <w:t>加大对中小微企业培育扶持力度，孵化一批具有“专精特新”的中小微企业，着力做好“</w:t>
      </w:r>
      <w:r>
        <w:rPr>
          <w:rFonts w:ascii="Times New Roman" w:hAnsi="Times New Roman" w:eastAsia="仿宋_GB2312" w:cs="Times New Roman"/>
          <w:sz w:val="32"/>
          <w:szCs w:val="32"/>
        </w:rPr>
        <w:t>个转企、企转规、规转股、股转上</w:t>
      </w:r>
      <w:r>
        <w:rPr>
          <w:rFonts w:hint="eastAsia" w:ascii="Times New Roman" w:hAnsi="Times New Roman" w:eastAsia="仿宋_GB2312" w:cs="Times New Roman"/>
          <w:sz w:val="32"/>
          <w:szCs w:val="32"/>
        </w:rPr>
        <w:t>”，帮助扶持一批成长性好的企业“上规转股”，帮助市场主体在规模和质量上实现双提升。</w:t>
      </w:r>
      <w:r>
        <w:rPr>
          <w:rFonts w:hint="eastAsia" w:ascii="Times New Roman" w:hAnsi="Times New Roman" w:eastAsia="仿宋_GB2312" w:cs="Times New Roman"/>
          <w:color w:val="000000"/>
          <w:sz w:val="32"/>
          <w:szCs w:val="32"/>
        </w:rPr>
        <w:t>鼓励支持并帮助企业申报中国驰名商标、地理标志产品，加强品牌保护，提升品牌价值。鼓励企业引进高新技术人才、加大科技研发、技术创新、资金投入等，</w:t>
      </w:r>
      <w:r>
        <w:rPr>
          <w:rFonts w:hint="eastAsia" w:ascii="Times New Roman" w:hAnsi="Times New Roman" w:eastAsia="仿宋_GB2312" w:cs="Times New Roman"/>
          <w:sz w:val="32"/>
          <w:szCs w:val="32"/>
        </w:rPr>
        <w:t>引导企业主体加强与科研院所合作，</w:t>
      </w:r>
      <w:r>
        <w:rPr>
          <w:rFonts w:hint="eastAsia" w:ascii="Times New Roman" w:hAnsi="Times New Roman" w:eastAsia="仿宋_GB2312" w:cs="Times New Roman"/>
          <w:color w:val="000000"/>
          <w:sz w:val="32"/>
          <w:szCs w:val="32"/>
        </w:rPr>
        <w:t>全面增强企业自主创新能力，</w:t>
      </w:r>
      <w:r>
        <w:rPr>
          <w:rFonts w:hint="eastAsia" w:ascii="Times New Roman" w:hAnsi="Times New Roman" w:eastAsia="仿宋_GB2312" w:cs="Times New Roman"/>
          <w:sz w:val="32"/>
          <w:szCs w:val="32"/>
        </w:rPr>
        <w:t>加速科技成果转化应用，</w:t>
      </w:r>
      <w:r>
        <w:rPr>
          <w:rFonts w:hint="eastAsia" w:ascii="Times New Roman" w:hAnsi="Times New Roman" w:eastAsia="仿宋_GB2312" w:cs="Times New Roman"/>
          <w:color w:val="000000"/>
          <w:sz w:val="32"/>
          <w:szCs w:val="32"/>
        </w:rPr>
        <w:t>推动企业规模和竞争力快速提升。</w:t>
      </w:r>
    </w:p>
    <w:p w14:paraId="38F812B2">
      <w:pPr>
        <w:widowControl/>
        <w:spacing w:line="560" w:lineRule="exact"/>
        <w:jc w:val="center"/>
        <w:outlineLvl w:val="1"/>
        <w:rPr>
          <w:rFonts w:hint="eastAsia" w:ascii="方正小标宋简体" w:hAnsi="方正小标宋简体" w:eastAsia="方正小标宋简体" w:cs="方正小标宋简体"/>
          <w:b w:val="0"/>
          <w:bCs w:val="0"/>
          <w:sz w:val="32"/>
          <w:szCs w:val="32"/>
        </w:rPr>
      </w:pPr>
      <w:bookmarkStart w:id="108" w:name="_Toc7126"/>
      <w:bookmarkStart w:id="109" w:name="_Toc5463"/>
      <w:bookmarkStart w:id="110" w:name="_Toc11520"/>
      <w:bookmarkStart w:id="111" w:name="_Toc18518"/>
      <w:bookmarkStart w:id="112" w:name="_Toc5622"/>
      <w:bookmarkStart w:id="113" w:name="_Toc10227"/>
      <w:r>
        <w:rPr>
          <w:rFonts w:hint="eastAsia" w:ascii="方正小标宋简体" w:hAnsi="方正小标宋简体" w:eastAsia="方正小标宋简体" w:cs="方正小标宋简体"/>
          <w:b w:val="0"/>
          <w:bCs w:val="0"/>
          <w:sz w:val="32"/>
          <w:szCs w:val="32"/>
        </w:rPr>
        <w:t>第四节  大力招商引资引业</w:t>
      </w:r>
      <w:bookmarkEnd w:id="108"/>
      <w:bookmarkEnd w:id="109"/>
      <w:bookmarkEnd w:id="110"/>
      <w:bookmarkEnd w:id="111"/>
      <w:bookmarkEnd w:id="112"/>
      <w:bookmarkEnd w:id="113"/>
    </w:p>
    <w:p w14:paraId="7A2F3367">
      <w:pPr>
        <w:spacing w:line="560" w:lineRule="exact"/>
        <w:rPr>
          <w:rFonts w:hint="eastAsia" w:ascii="Times New Roman" w:hAnsi="Times New Roman" w:eastAsia="仿宋_GB2312" w:cs="Times New Roman"/>
          <w:sz w:val="32"/>
          <w:szCs w:val="32"/>
        </w:rPr>
      </w:pPr>
      <w:r>
        <w:rPr>
          <w:rFonts w:hint="eastAsia" w:ascii="仿宋_GB2312" w:hAnsi="仿宋_GB2312" w:eastAsia="仿宋_GB2312" w:cs="仿宋_GB2312"/>
          <w:sz w:val="32"/>
          <w:szCs w:val="40"/>
        </w:rPr>
        <w:t xml:space="preserve">   </w:t>
      </w:r>
      <w:r>
        <w:rPr>
          <w:rFonts w:hint="eastAsia" w:ascii="Times New Roman" w:hAnsi="Times New Roman" w:eastAsia="仿宋_GB2312" w:cs="Times New Roman"/>
          <w:sz w:val="32"/>
          <w:szCs w:val="32"/>
        </w:rPr>
        <w:t xml:space="preserve"> 把招商引资作为发展的“生命线”，秉持“息烽之外即为外”理念，发挥好环境好、交通好、资源好、基础好、前景好、政治生态好的优势，</w:t>
      </w:r>
      <w:r>
        <w:rPr>
          <w:rFonts w:hint="eastAsia" w:ascii="Times New Roman" w:hAnsi="Times New Roman" w:eastAsia="仿宋_GB2312" w:cs="Times New Roman"/>
          <w:sz w:val="32"/>
          <w:szCs w:val="32"/>
          <w:lang w:eastAsia="zh-CN"/>
        </w:rPr>
        <w:t>实</w:t>
      </w:r>
      <w:r>
        <w:rPr>
          <w:rFonts w:hint="eastAsia" w:ascii="Times New Roman" w:hAnsi="Times New Roman" w:eastAsia="仿宋_GB2312" w:cs="Times New Roman"/>
          <w:sz w:val="32"/>
          <w:szCs w:val="32"/>
        </w:rPr>
        <w:t>施“南承北接、东出西联”战略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不断拓宽对外交流合作渠道。紧盯最需、最急、最缺的产业项目，以延链、强链、补链为重点，突出以京津冀、成渝经济圈、泛珠三角地区、长三角为重点区域，围绕现代化工、新型建材、新医药、特色食品、日用消费品、装备制造、节能环保等七大产业，坚持党政主要领导带头招商、小分队招商、以商招商、以业招商，招大引强选优，强化“千企引进”，提高招商引业针对性和精准性。立足“东部+”，抓东西合作将磷石膏变废为宝，抓东西合作推进中高端制造业发展，抓东西合作推介息烽产品，争取更多资源得到开发、更多基地落在息烽、更多息烽产品畅通省内外。以“三顾茅庐”的精神，力争引进产业项目到位资金540亿元，年均增长10%，每年引进制造业项目5个以上形成品牌2个以上，力争建成15—20个制造业企业。引进落地建设50—60个产业投资企业，其中中高端制造业项目达10个以上。</w:t>
      </w:r>
    </w:p>
    <w:p w14:paraId="25E18583">
      <w:pPr>
        <w:pStyle w:val="3"/>
        <w:pageBreakBefore/>
        <w:spacing w:before="312" w:beforeLines="100" w:after="312" w:afterLines="100" w:line="560" w:lineRule="exact"/>
        <w:jc w:val="center"/>
        <w:rPr>
          <w:rFonts w:ascii="方正小标宋简体" w:hAnsi="方正小标宋简体" w:eastAsia="方正小标宋简体" w:cs="方正小标宋简体"/>
          <w:b w:val="0"/>
          <w:bCs w:val="0"/>
          <w:sz w:val="36"/>
          <w:szCs w:val="36"/>
        </w:rPr>
      </w:pPr>
      <w:bookmarkStart w:id="114" w:name="_Toc21097"/>
      <w:bookmarkStart w:id="115" w:name="_Toc61193785"/>
      <w:bookmarkStart w:id="116" w:name="_Toc25307"/>
      <w:bookmarkStart w:id="117" w:name="_Toc5784"/>
      <w:bookmarkStart w:id="118" w:name="_Toc17572"/>
      <w:bookmarkStart w:id="119" w:name="_Toc19846"/>
      <w:bookmarkStart w:id="120" w:name="_Toc19128"/>
      <w:r>
        <w:rPr>
          <w:rFonts w:hint="eastAsia" w:ascii="方正小标宋简体" w:hAnsi="方正小标宋简体" w:eastAsia="方正小标宋简体" w:cs="方正小标宋简体"/>
          <w:b w:val="0"/>
          <w:bCs w:val="0"/>
          <w:sz w:val="36"/>
          <w:szCs w:val="36"/>
        </w:rPr>
        <w:t>第三章</w:t>
      </w:r>
      <w:r>
        <w:rPr>
          <w:rFonts w:ascii="方正小标宋简体" w:hAnsi="方正小标宋简体" w:eastAsia="方正小标宋简体" w:cs="方正小标宋简体"/>
          <w:b w:val="0"/>
          <w:bCs w:val="0"/>
          <w:sz w:val="36"/>
          <w:szCs w:val="36"/>
        </w:rPr>
        <w:t xml:space="preserve">  </w:t>
      </w:r>
      <w:bookmarkStart w:id="121" w:name="_Toc24644"/>
      <w:r>
        <w:rPr>
          <w:rFonts w:hint="eastAsia" w:ascii="方正小标宋简体" w:hAnsi="方正小标宋简体" w:eastAsia="方正小标宋简体" w:cs="方正小标宋简体"/>
          <w:b w:val="0"/>
          <w:bCs w:val="0"/>
          <w:sz w:val="36"/>
          <w:szCs w:val="36"/>
        </w:rPr>
        <w:t>加</w:t>
      </w:r>
      <w:r>
        <w:rPr>
          <w:rFonts w:hint="eastAsia" w:ascii="方正小标宋简体" w:hAnsi="方正小标宋简体" w:eastAsia="方正小标宋简体" w:cs="方正小标宋简体"/>
          <w:b w:val="0"/>
          <w:bCs w:val="0"/>
          <w:sz w:val="36"/>
          <w:szCs w:val="36"/>
          <w:lang w:val="en-US" w:eastAsia="zh-CN"/>
        </w:rPr>
        <w:t>强</w:t>
      </w:r>
      <w:r>
        <w:rPr>
          <w:rFonts w:hint="eastAsia" w:ascii="方正小标宋简体" w:hAnsi="方正小标宋简体" w:eastAsia="方正小标宋简体" w:cs="方正小标宋简体"/>
          <w:b w:val="0"/>
          <w:bCs w:val="0"/>
          <w:sz w:val="36"/>
          <w:szCs w:val="36"/>
        </w:rPr>
        <w:t xml:space="preserve">顶层设计 </w:t>
      </w:r>
      <w:r>
        <w:rPr>
          <w:rFonts w:hint="eastAsia" w:ascii="方正小标宋简体" w:hAnsi="方正小标宋简体" w:eastAsia="方正小标宋简体" w:cs="方正小标宋简体"/>
          <w:b w:val="0"/>
          <w:bCs w:val="0"/>
          <w:sz w:val="36"/>
          <w:szCs w:val="36"/>
          <w:lang w:val="en-US" w:eastAsia="zh-CN"/>
        </w:rPr>
        <w:t xml:space="preserve">  高质量</w:t>
      </w:r>
      <w:r>
        <w:rPr>
          <w:rFonts w:hint="eastAsia" w:ascii="方正小标宋简体" w:hAnsi="方正小标宋简体" w:eastAsia="方正小标宋简体" w:cs="方正小标宋简体"/>
          <w:b w:val="0"/>
          <w:bCs w:val="0"/>
          <w:sz w:val="36"/>
          <w:szCs w:val="36"/>
        </w:rPr>
        <w:t>构建国土空间开发保护新格局</w:t>
      </w:r>
      <w:bookmarkEnd w:id="70"/>
      <w:bookmarkEnd w:id="71"/>
      <w:bookmarkEnd w:id="76"/>
      <w:bookmarkEnd w:id="77"/>
      <w:bookmarkEnd w:id="78"/>
      <w:bookmarkEnd w:id="79"/>
      <w:bookmarkEnd w:id="80"/>
      <w:bookmarkEnd w:id="81"/>
      <w:bookmarkEnd w:id="82"/>
      <w:bookmarkEnd w:id="114"/>
      <w:bookmarkEnd w:id="115"/>
      <w:bookmarkEnd w:id="116"/>
      <w:bookmarkEnd w:id="117"/>
      <w:bookmarkEnd w:id="118"/>
      <w:bookmarkEnd w:id="119"/>
      <w:bookmarkEnd w:id="120"/>
      <w:bookmarkEnd w:id="121"/>
    </w:p>
    <w:p w14:paraId="2A9964D2">
      <w:pPr>
        <w:pStyle w:val="10"/>
        <w:spacing w:line="560" w:lineRule="exact"/>
        <w:ind w:firstLine="640" w:firstLineChars="200"/>
        <w:jc w:val="both"/>
        <w:rPr>
          <w:rFonts w:ascii="仿宋_GB2312" w:hAnsi="仿宋_GB2312" w:eastAsia="仿宋_GB2312" w:cs="仿宋_GB2312"/>
          <w:sz w:val="32"/>
          <w:szCs w:val="32"/>
        </w:rPr>
      </w:pPr>
      <w:bookmarkStart w:id="122" w:name="_Toc17274"/>
      <w:r>
        <w:rPr>
          <w:rFonts w:hint="eastAsia" w:ascii="仿宋_GB2312" w:hAnsi="仿宋_GB2312" w:eastAsia="仿宋_GB2312" w:cs="仿宋_GB2312"/>
          <w:sz w:val="32"/>
          <w:szCs w:val="32"/>
        </w:rPr>
        <w:t>充分发挥国土空间规划在发展中的引领作用，按照高质量发展要求，优化全域空间结构，科学统筹城乡空间功能，协调好保护与开发的关系。强化底线思维，加强对各类国土空间要素的集中管控。提升国土空间治理体系和治理能力现代化水平，以空间治理方式转变助推发展方式转变，推动经济发展质量变革、效率变革、动力变革，形成绿色发展方式和生活方式。</w:t>
      </w:r>
    </w:p>
    <w:p w14:paraId="5C7F5D31">
      <w:pPr>
        <w:widowControl/>
        <w:spacing w:before="312" w:beforeLines="100" w:after="312" w:afterLines="100"/>
        <w:ind w:firstLine="320" w:firstLineChars="100"/>
        <w:jc w:val="center"/>
        <w:outlineLvl w:val="1"/>
        <w:rPr>
          <w:rFonts w:ascii="方正小标宋简体" w:hAnsi="方正小标宋简体" w:eastAsia="方正小标宋简体" w:cs="方正小标宋简体"/>
          <w:b w:val="0"/>
          <w:bCs w:val="0"/>
          <w:sz w:val="32"/>
          <w:szCs w:val="32"/>
        </w:rPr>
      </w:pPr>
      <w:bookmarkStart w:id="123" w:name="_Toc13416"/>
      <w:bookmarkStart w:id="124" w:name="_Toc16021"/>
      <w:bookmarkStart w:id="125" w:name="_Toc27287"/>
      <w:bookmarkStart w:id="126" w:name="_Toc19289"/>
      <w:bookmarkStart w:id="127" w:name="_Toc15493"/>
      <w:bookmarkStart w:id="128" w:name="_Toc24097"/>
      <w:bookmarkStart w:id="129" w:name="_Toc61193786"/>
      <w:r>
        <w:rPr>
          <w:rFonts w:hint="eastAsia" w:ascii="方正小标宋简体" w:hAnsi="方正小标宋简体" w:eastAsia="方正小标宋简体" w:cs="方正小标宋简体"/>
          <w:b w:val="0"/>
          <w:bCs w:val="0"/>
          <w:sz w:val="32"/>
          <w:szCs w:val="32"/>
        </w:rPr>
        <w:t xml:space="preserve">第一节 </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统筹县域空间总体布局</w:t>
      </w:r>
      <w:bookmarkEnd w:id="123"/>
      <w:bookmarkEnd w:id="124"/>
      <w:bookmarkEnd w:id="125"/>
      <w:bookmarkEnd w:id="126"/>
      <w:bookmarkEnd w:id="127"/>
      <w:bookmarkEnd w:id="128"/>
      <w:bookmarkEnd w:id="129"/>
    </w:p>
    <w:p w14:paraId="281DF3C0">
      <w:pPr>
        <w:pStyle w:val="15"/>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全域统筹、城乡融合，在资源环境承载力和国土空间开发适宜性评价基础上，科学有序统筹布局生态、农业、城镇等功能空间。划定生态保护红线、永久基本农田、城镇开发边界等空间管控边界，强化底线约束，为可持续发展预留空间。构建与县域资源禀赋、生态本底、环境条件等相适应的城乡空间框架。建立完善国土空间规划体系（五级三类四体系），逐步建立“多规合一”的规划编制审批体系、实施监督体系。落实上位规划的战略要求和约束性指标，编制完成《息烽县国土空间总体规划(2020-2035)》及相关专项规划，强化总体规划对各专项规划、详细规划的指导约束作用，初步形成县域国土空间开发保护“一张图”。形成以国土空间规划为基础，以统一用途管制为手段的国土空间开发保护制度。全面实施国土空间监测预警和绩效考核机制。建立规划编制、实施监测、评估和预警长效机制。</w:t>
      </w:r>
    </w:p>
    <w:p w14:paraId="16BC66AE">
      <w:pPr>
        <w:widowControl/>
        <w:spacing w:before="312" w:beforeLines="100" w:after="312" w:afterLines="100"/>
        <w:jc w:val="center"/>
        <w:outlineLvl w:val="1"/>
        <w:rPr>
          <w:rFonts w:ascii="方正小标宋简体" w:hAnsi="方正小标宋简体" w:eastAsia="方正小标宋简体" w:cs="方正小标宋简体"/>
          <w:b w:val="0"/>
          <w:bCs w:val="0"/>
          <w:sz w:val="32"/>
          <w:szCs w:val="32"/>
        </w:rPr>
      </w:pPr>
      <w:bookmarkStart w:id="130" w:name="_Toc22614"/>
      <w:bookmarkStart w:id="131" w:name="_Toc12357"/>
      <w:bookmarkStart w:id="132" w:name="_Toc31469"/>
      <w:bookmarkStart w:id="133" w:name="_Toc6272"/>
      <w:bookmarkStart w:id="134" w:name="_Toc61193787"/>
      <w:bookmarkStart w:id="135" w:name="_Toc1580"/>
      <w:bookmarkStart w:id="136" w:name="_Toc33"/>
      <w:bookmarkStart w:id="137" w:name="_Toc12281"/>
      <w:bookmarkStart w:id="138" w:name="_Toc7096"/>
      <w:bookmarkStart w:id="139" w:name="_Toc6996"/>
      <w:bookmarkStart w:id="140" w:name="_Toc28613"/>
      <w:bookmarkStart w:id="141" w:name="_Toc11076"/>
      <w:bookmarkStart w:id="142" w:name="_Toc58580288"/>
      <w:bookmarkStart w:id="143" w:name="_Toc8232"/>
      <w:r>
        <w:rPr>
          <w:rFonts w:hint="eastAsia" w:ascii="方正小标宋简体" w:hAnsi="方正小标宋简体" w:eastAsia="方正小标宋简体" w:cs="方正小标宋简体"/>
          <w:b w:val="0"/>
          <w:bCs w:val="0"/>
          <w:sz w:val="32"/>
          <w:szCs w:val="32"/>
        </w:rPr>
        <w:t>第二节  构建生态安全空间</w:t>
      </w:r>
      <w:bookmarkEnd w:id="130"/>
      <w:bookmarkEnd w:id="131"/>
      <w:bookmarkEnd w:id="132"/>
      <w:bookmarkEnd w:id="133"/>
      <w:bookmarkEnd w:id="134"/>
      <w:bookmarkEnd w:id="135"/>
      <w:bookmarkEnd w:id="136"/>
    </w:p>
    <w:p w14:paraId="1C80B9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提升生态系统服务功能为目标，严守生态保护红线，对生态敏感地区实施强制性保护，加强绿色生态屏障建设，积极构建生态空间格局，着力推进生态环境保护与修复建设，全力打造“山水林田湖草”生命共同体。以山脉、水系为骨干，构建“一核两屏三廊”生态空间格局。</w:t>
      </w:r>
    </w:p>
    <w:tbl>
      <w:tblPr>
        <w:tblStyle w:val="17"/>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8286"/>
      </w:tblGrid>
      <w:tr w14:paraId="2006734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2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top"/>
          </w:tcPr>
          <w:p w14:paraId="6C1C86BD">
            <w:pPr>
              <w:spacing w:line="360" w:lineRule="auto"/>
              <w:ind w:firstLine="482" w:firstLineChars="20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专栏</w:t>
            </w:r>
            <w:r>
              <w:rPr>
                <w:rFonts w:ascii="仿宋_GB2312" w:hAnsi="仿宋_GB2312" w:eastAsia="仿宋_GB2312" w:cs="仿宋_GB2312"/>
                <w:b/>
                <w:bCs/>
                <w:kern w:val="0"/>
                <w:sz w:val="24"/>
                <w:szCs w:val="24"/>
              </w:rPr>
              <w:t xml:space="preserve"> </w:t>
            </w:r>
            <w:r>
              <w:rPr>
                <w:rFonts w:hint="eastAsia" w:ascii="仿宋_GB2312" w:hAnsi="仿宋_GB2312" w:eastAsia="仿宋_GB2312" w:cs="仿宋_GB2312"/>
                <w:b/>
                <w:bCs/>
                <w:kern w:val="0"/>
                <w:sz w:val="24"/>
                <w:szCs w:val="24"/>
              </w:rPr>
              <w:t>生态空间格局</w:t>
            </w:r>
          </w:p>
          <w:p w14:paraId="297A9A43">
            <w:pPr>
              <w:tabs>
                <w:tab w:val="left" w:pos="312"/>
              </w:tabs>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一片生态绿核：</w:t>
            </w:r>
            <w:r>
              <w:rPr>
                <w:rFonts w:ascii="仿宋_GB2312" w:hAnsi="仿宋_GB2312" w:eastAsia="仿宋_GB2312" w:cs="仿宋_GB2312"/>
                <w:sz w:val="24"/>
                <w:szCs w:val="24"/>
              </w:rPr>
              <w:t>以县域中部的西望山为主体构成生态支持体系的核心；</w:t>
            </w:r>
          </w:p>
          <w:p w14:paraId="68F17754">
            <w:pPr>
              <w:tabs>
                <w:tab w:val="left" w:pos="312"/>
              </w:tabs>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两大生态屏障：</w:t>
            </w:r>
            <w:r>
              <w:rPr>
                <w:rFonts w:ascii="仿宋_GB2312" w:hAnsi="仿宋_GB2312" w:eastAsia="仿宋_GB2312" w:cs="仿宋_GB2312"/>
                <w:sz w:val="24"/>
                <w:szCs w:val="24"/>
              </w:rPr>
              <w:t>构建以县域东部的南山-天台山为主的东部生态屏障，以乌江沿岸为主的北部生态屏障；</w:t>
            </w:r>
          </w:p>
          <w:p w14:paraId="0BC21D70">
            <w:pPr>
              <w:tabs>
                <w:tab w:val="left" w:pos="312"/>
              </w:tabs>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b/>
                <w:bCs/>
                <w:sz w:val="24"/>
                <w:szCs w:val="24"/>
              </w:rPr>
              <w:t>三条生态廊道：</w:t>
            </w:r>
            <w:r>
              <w:rPr>
                <w:rFonts w:ascii="仿宋_GB2312" w:hAnsi="仿宋_GB2312" w:eastAsia="仿宋_GB2312" w:cs="仿宋_GB2312"/>
                <w:sz w:val="24"/>
                <w:szCs w:val="24"/>
              </w:rPr>
              <w:t>构建息烽河-西望山、翁桶河-西望山、雨淋河-西望山三条生态廊道。</w:t>
            </w:r>
          </w:p>
        </w:tc>
      </w:tr>
    </w:tbl>
    <w:p w14:paraId="38DA3DDE">
      <w:pPr>
        <w:pStyle w:val="10"/>
        <w:spacing w:line="560" w:lineRule="exact"/>
        <w:ind w:firstLine="640" w:firstLineChars="200"/>
        <w:rPr>
          <w:rFonts w:ascii="仿宋_GB2312" w:hAnsi="仿宋_GB2312" w:eastAsia="仿宋_GB2312" w:cs="仿宋_GB2312"/>
          <w:sz w:val="32"/>
          <w:szCs w:val="32"/>
        </w:rPr>
      </w:pPr>
    </w:p>
    <w:p w14:paraId="2E1B3185">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144" w:name="_Toc10493"/>
      <w:bookmarkStart w:id="145" w:name="_Toc24552"/>
      <w:bookmarkStart w:id="146" w:name="_Toc12193"/>
      <w:bookmarkStart w:id="147" w:name="_Toc31779"/>
      <w:bookmarkStart w:id="148" w:name="_Toc26202"/>
      <w:bookmarkStart w:id="149" w:name="_Toc61193788"/>
      <w:bookmarkStart w:id="150" w:name="_Toc10595"/>
      <w:r>
        <w:rPr>
          <w:rFonts w:hint="eastAsia" w:ascii="方正小标宋简体" w:hAnsi="方正小标宋简体" w:eastAsia="方正小标宋简体" w:cs="方正小标宋简体"/>
          <w:b w:val="0"/>
          <w:bCs w:val="0"/>
          <w:kern w:val="0"/>
        </w:rPr>
        <w:t>第三节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提升农业发展空间</w:t>
      </w:r>
      <w:bookmarkEnd w:id="144"/>
      <w:bookmarkEnd w:id="145"/>
      <w:bookmarkEnd w:id="146"/>
      <w:bookmarkEnd w:id="147"/>
      <w:bookmarkEnd w:id="148"/>
      <w:bookmarkEnd w:id="149"/>
      <w:bookmarkEnd w:id="150"/>
    </w:p>
    <w:p w14:paraId="36FAEEB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落实生态保护红线、永久基本农田管控要求，因地制宜划定历史文化保护线、地质灾害和洪涝灾害风险控制线、村庄建设边界等管控边界。尊重区域自然地理格局和乡村禀赋特色，推动形成与资源环境承载力相匹配、生产生活生态相协调的农业发展格局。统筹考虑乡村振兴与新型城镇化要求，推动城乡融合发展，科学编制村庄规划，优化乡村发展布局，引导农村居民点适度集中、集约布局，</w:t>
      </w:r>
      <w:r>
        <w:rPr>
          <w:rFonts w:ascii="仿宋_GB2312" w:hAnsi="仿宋_GB2312" w:eastAsia="仿宋_GB2312" w:cs="仿宋_GB2312"/>
          <w:sz w:val="32"/>
          <w:szCs w:val="32"/>
        </w:rPr>
        <w:t>打造集约高效生产空间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宜居适度生活空间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山清水秀生态空间，</w:t>
      </w:r>
      <w:r>
        <w:rPr>
          <w:rFonts w:hint="eastAsia" w:ascii="仿宋_GB2312" w:hAnsi="仿宋_GB2312" w:eastAsia="仿宋_GB2312" w:cs="仿宋_GB2312"/>
          <w:sz w:val="32"/>
          <w:szCs w:val="32"/>
        </w:rPr>
        <w:t>形成</w:t>
      </w:r>
      <w:r>
        <w:rPr>
          <w:rFonts w:ascii="仿宋_GB2312" w:hAnsi="仿宋_GB2312" w:eastAsia="仿宋_GB2312" w:cs="仿宋_GB2312"/>
          <w:sz w:val="32"/>
          <w:szCs w:val="32"/>
        </w:rPr>
        <w:t>人和自然有机融合的乡村空间关系。</w:t>
      </w:r>
      <w:r>
        <w:rPr>
          <w:rFonts w:hint="eastAsia" w:ascii="仿宋_GB2312" w:hAnsi="仿宋_GB2312" w:eastAsia="仿宋_GB2312" w:cs="仿宋_GB2312"/>
          <w:sz w:val="32"/>
          <w:szCs w:val="32"/>
        </w:rPr>
        <w:t>加强重要农产品生产保护区和特色农产品优势区建设，按照“一园两区”布局模式，引导农业规模化、现代化、绿色化集聚发展。</w:t>
      </w:r>
    </w:p>
    <w:tbl>
      <w:tblPr>
        <w:tblStyle w:val="17"/>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8286"/>
      </w:tblGrid>
      <w:tr w14:paraId="414EDAC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2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top"/>
          </w:tcPr>
          <w:p w14:paraId="61B190AE">
            <w:pPr>
              <w:spacing w:line="360" w:lineRule="auto"/>
              <w:ind w:firstLine="482" w:firstLineChars="20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专栏</w:t>
            </w:r>
            <w:r>
              <w:rPr>
                <w:rFonts w:ascii="仿宋_GB2312" w:hAnsi="仿宋_GB2312" w:eastAsia="仿宋_GB2312" w:cs="仿宋_GB2312"/>
                <w:b/>
                <w:bCs/>
                <w:kern w:val="0"/>
                <w:sz w:val="24"/>
                <w:szCs w:val="24"/>
              </w:rPr>
              <w:t xml:space="preserve"> </w:t>
            </w:r>
            <w:r>
              <w:rPr>
                <w:rFonts w:hint="eastAsia" w:ascii="仿宋_GB2312" w:hAnsi="仿宋_GB2312" w:eastAsia="仿宋_GB2312" w:cs="仿宋_GB2312"/>
                <w:b/>
                <w:bCs/>
                <w:kern w:val="0"/>
                <w:sz w:val="24"/>
                <w:szCs w:val="24"/>
              </w:rPr>
              <w:t>农业产业“一园两区”布局</w:t>
            </w:r>
          </w:p>
          <w:p w14:paraId="6AB3282E">
            <w:pPr>
              <w:tabs>
                <w:tab w:val="left" w:pos="312"/>
              </w:tabs>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一园：</w:t>
            </w:r>
            <w:r>
              <w:rPr>
                <w:rFonts w:hint="eastAsia" w:ascii="仿宋_GB2312" w:hAnsi="仿宋_GB2312" w:eastAsia="仿宋_GB2312" w:cs="仿宋_GB2312"/>
                <w:sz w:val="24"/>
                <w:szCs w:val="24"/>
              </w:rPr>
              <w:t>以青山、石硐、九庄、鹿窝、流长、永靖、小寨坝等乡镇及永阳街道办事处为重点布局都市现代农业产业园。</w:t>
            </w:r>
          </w:p>
          <w:p w14:paraId="6E40C92F">
            <w:pPr>
              <w:tabs>
                <w:tab w:val="left" w:pos="312"/>
              </w:tabs>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b/>
                <w:bCs/>
                <w:sz w:val="24"/>
                <w:szCs w:val="24"/>
              </w:rPr>
              <w:t>两区：</w:t>
            </w:r>
            <w:r>
              <w:rPr>
                <w:rFonts w:hint="eastAsia" w:ascii="仿宋_GB2312" w:hAnsi="仿宋_GB2312" w:eastAsia="仿宋_GB2312" w:cs="仿宋_GB2312"/>
                <w:sz w:val="24"/>
                <w:szCs w:val="24"/>
              </w:rPr>
              <w:t>以小寨坝镇大屋基组团为核心，辐射带动同城大道沿线建设农产品加工集聚区；围绕南山温泉、息烽温泉、养龙司半边天文化布局休闲观光体验农业园，建成</w:t>
            </w:r>
            <w:r>
              <w:rPr>
                <w:rFonts w:ascii="仿宋_GB2312" w:hAnsi="仿宋_GB2312" w:eastAsia="仿宋_GB2312" w:cs="仿宋_GB2312"/>
                <w:sz w:val="24"/>
                <w:szCs w:val="24"/>
              </w:rPr>
              <w:t>20万亩特色优势农</w:t>
            </w:r>
            <w:r>
              <w:rPr>
                <w:rFonts w:hint="eastAsia" w:ascii="仿宋_GB2312" w:hAnsi="仿宋_GB2312" w:eastAsia="仿宋_GB2312" w:cs="仿宋_GB2312"/>
                <w:sz w:val="24"/>
                <w:szCs w:val="24"/>
              </w:rPr>
              <w:t>村</w:t>
            </w:r>
            <w:r>
              <w:rPr>
                <w:rFonts w:ascii="仿宋_GB2312" w:hAnsi="仿宋_GB2312" w:eastAsia="仿宋_GB2312" w:cs="仿宋_GB2312"/>
                <w:sz w:val="24"/>
                <w:szCs w:val="24"/>
              </w:rPr>
              <w:t>产业示范引领区</w:t>
            </w:r>
            <w:r>
              <w:rPr>
                <w:rFonts w:hint="eastAsia" w:ascii="仿宋_GB2312" w:hAnsi="仿宋_GB2312" w:eastAsia="仿宋_GB2312" w:cs="仿宋_GB2312"/>
                <w:sz w:val="24"/>
                <w:szCs w:val="24"/>
              </w:rPr>
              <w:t>。</w:t>
            </w:r>
          </w:p>
        </w:tc>
      </w:tr>
    </w:tbl>
    <w:p w14:paraId="341A9751">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151" w:name="_Toc61193789"/>
      <w:bookmarkStart w:id="152" w:name="_Toc21663"/>
      <w:bookmarkStart w:id="153" w:name="_Toc132"/>
      <w:bookmarkStart w:id="154" w:name="_Toc5618"/>
      <w:bookmarkStart w:id="155" w:name="_Toc1357"/>
      <w:bookmarkStart w:id="156" w:name="_Toc13070"/>
      <w:bookmarkStart w:id="157" w:name="_Toc7018"/>
      <w:r>
        <w:rPr>
          <w:rFonts w:hint="eastAsia" w:ascii="方正小标宋简体" w:hAnsi="方正小标宋简体" w:eastAsia="方正小标宋简体" w:cs="方正小标宋简体"/>
          <w:b w:val="0"/>
          <w:bCs w:val="0"/>
          <w:kern w:val="0"/>
        </w:rPr>
        <w:t>第四节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优化城镇发展空间</w:t>
      </w:r>
      <w:bookmarkEnd w:id="151"/>
      <w:bookmarkEnd w:id="152"/>
      <w:bookmarkEnd w:id="153"/>
      <w:bookmarkEnd w:id="154"/>
      <w:bookmarkEnd w:id="155"/>
      <w:bookmarkEnd w:id="156"/>
      <w:bookmarkEnd w:id="157"/>
    </w:p>
    <w:p w14:paraId="2CC831AD">
      <w:pPr>
        <w:spacing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立足交通、区位、人口分布、经济状况、资源禀赋和未来发展需求，按照“多中心、网络化、组团式”布局要求，坚持要素集聚、产业集中、土地集约、生态环保原则，优化全县城镇布局，着力构建具有山地特色的城镇体系，形成“两轴一环、三心多区”的城镇发展格局。做大中心城区规模，提升城市发展水平，融入贵阳－贵安－安顺都市圈和遵义都市圈城镇带发展，与沿线城市在开放通道、产业协同、文化旅游等方面全面对接，联动发展，充分发挥息烽县战略支点作用。大力推进中心城区和其他小城镇建设，加强中心城区与小城镇的快速交通连接与互动融合，全面推进城镇要素聚集、品质提升和功能完善，增强中心城区和小城镇的辐射带动能力。</w:t>
      </w:r>
    </w:p>
    <w:p w14:paraId="544BDB95">
      <w:pPr>
        <w:pStyle w:val="10"/>
      </w:pPr>
    </w:p>
    <w:p w14:paraId="5F3079DF">
      <w:pPr>
        <w:keepNext/>
        <w:pBdr>
          <w:top w:val="single" w:color="auto" w:sz="4" w:space="1"/>
          <w:left w:val="single" w:color="auto" w:sz="4" w:space="4"/>
          <w:bottom w:val="single" w:color="auto" w:sz="4" w:space="1"/>
          <w:right w:val="single" w:color="auto" w:sz="4" w:space="4"/>
        </w:pBdr>
        <w:autoSpaceDE w:val="0"/>
        <w:autoSpaceDN w:val="0"/>
        <w:adjustRightIn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专栏：“两轴一环、三心多区”的城镇发展布局</w:t>
      </w:r>
    </w:p>
    <w:p w14:paraId="1A5E616F">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两轴：</w:t>
      </w:r>
      <w:r>
        <w:rPr>
          <w:rFonts w:hint="eastAsia" w:ascii="仿宋_GB2312" w:hAnsi="仿宋_GB2312" w:eastAsia="仿宋_GB2312" w:cs="仿宋_GB2312"/>
          <w:sz w:val="24"/>
          <w:szCs w:val="24"/>
        </w:rPr>
        <w:t>贵阳</w:t>
      </w:r>
      <w:r>
        <w:rPr>
          <w:rFonts w:ascii="仿宋_GB2312" w:hAnsi="仿宋_GB2312" w:eastAsia="仿宋_GB2312" w:cs="仿宋_GB2312"/>
          <w:sz w:val="24"/>
          <w:szCs w:val="24"/>
        </w:rPr>
        <w:t>-息烽-遵义同城化发展轴；贵阳-息烽-成都都市圈协同发展轴。</w:t>
      </w:r>
    </w:p>
    <w:p w14:paraId="5CDDBA73">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一环：</w:t>
      </w:r>
      <w:r>
        <w:rPr>
          <w:rFonts w:hint="eastAsia" w:ascii="仿宋_GB2312" w:hAnsi="仿宋_GB2312" w:eastAsia="仿宋_GB2312" w:cs="仿宋_GB2312"/>
          <w:sz w:val="24"/>
          <w:szCs w:val="24"/>
        </w:rPr>
        <w:t>以交通联系串联产业核心、服务核心与重要功能片区，形成空间功能联系环。</w:t>
      </w:r>
    </w:p>
    <w:p w14:paraId="28B05A1E">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三心：</w:t>
      </w:r>
      <w:r>
        <w:rPr>
          <w:rFonts w:hint="eastAsia" w:ascii="仿宋_GB2312" w:hAnsi="仿宋_GB2312" w:eastAsia="仿宋_GB2312" w:cs="仿宋_GB2312"/>
          <w:sz w:val="24"/>
          <w:szCs w:val="24"/>
        </w:rPr>
        <w:t>基于西望山优质生态基底，形成生态核心；形成以西山、阳朗、新萝、南山组团聚集发展的南部城市拓展区服务核心；依托小寨坝现状产业基础，以经开区为核心载体，聚焦产业提质升级，打造中高端制造产业核心。</w:t>
      </w:r>
    </w:p>
    <w:p w14:paraId="067F7205">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多区：</w:t>
      </w:r>
      <w:r>
        <w:rPr>
          <w:rFonts w:hint="eastAsia" w:ascii="仿宋_GB2312" w:hAnsi="仿宋_GB2312" w:eastAsia="仿宋_GB2312" w:cs="仿宋_GB2312"/>
          <w:sz w:val="24"/>
          <w:szCs w:val="24"/>
        </w:rPr>
        <w:t>根据特色资源分布，按照“一区多园”发展模式，形成以现代服务、新型工业、现代农业、旅游康养等产业为主导的产业园及产业聚焦发展区，实现产城融合发展。</w:t>
      </w:r>
    </w:p>
    <w:bookmarkEnd w:id="122"/>
    <w:bookmarkEnd w:id="137"/>
    <w:bookmarkEnd w:id="138"/>
    <w:bookmarkEnd w:id="139"/>
    <w:bookmarkEnd w:id="140"/>
    <w:bookmarkEnd w:id="141"/>
    <w:bookmarkEnd w:id="142"/>
    <w:bookmarkEnd w:id="143"/>
    <w:p w14:paraId="1100E590">
      <w:pPr>
        <w:pStyle w:val="3"/>
        <w:pageBreakBefore/>
        <w:spacing w:before="312" w:beforeLines="100" w:after="312" w:afterLines="100" w:line="560" w:lineRule="exact"/>
        <w:jc w:val="center"/>
        <w:rPr>
          <w:rFonts w:ascii="方正小标宋简体" w:hAnsi="方正小标宋简体" w:eastAsia="方正小标宋简体" w:cs="方正小标宋简体"/>
          <w:b w:val="0"/>
          <w:bCs w:val="0"/>
          <w:kern w:val="0"/>
          <w:sz w:val="36"/>
          <w:szCs w:val="36"/>
        </w:rPr>
      </w:pPr>
      <w:bookmarkStart w:id="158" w:name="_Toc22206"/>
      <w:bookmarkStart w:id="159" w:name="_Toc27698"/>
      <w:bookmarkStart w:id="160" w:name="_Toc14354"/>
      <w:bookmarkStart w:id="161" w:name="_Toc19409"/>
      <w:bookmarkStart w:id="162" w:name="_Toc21920"/>
      <w:bookmarkStart w:id="163" w:name="_Toc5773"/>
      <w:bookmarkStart w:id="164" w:name="_Toc61193790"/>
      <w:bookmarkStart w:id="165" w:name="_Toc6224"/>
      <w:bookmarkStart w:id="166" w:name="_Toc32422"/>
      <w:bookmarkStart w:id="167" w:name="_Toc14325"/>
      <w:bookmarkStart w:id="168" w:name="_Toc6138"/>
      <w:bookmarkStart w:id="169" w:name="_Toc966"/>
      <w:bookmarkStart w:id="170" w:name="_Toc25369"/>
      <w:bookmarkStart w:id="171" w:name="_Toc23903"/>
      <w:bookmarkStart w:id="172" w:name="_Toc58580292"/>
      <w:bookmarkStart w:id="173" w:name="_Toc4710"/>
      <w:bookmarkStart w:id="174" w:name="_Toc26082"/>
      <w:bookmarkStart w:id="175" w:name="_Toc18382"/>
      <w:bookmarkStart w:id="176" w:name="_Toc18297"/>
      <w:bookmarkStart w:id="177" w:name="_Toc7387"/>
      <w:bookmarkStart w:id="178" w:name="_Toc22357"/>
      <w:bookmarkStart w:id="179" w:name="_Toc11363"/>
      <w:bookmarkStart w:id="180" w:name="_Toc14607"/>
      <w:bookmarkStart w:id="181" w:name="_Toc15775"/>
      <w:bookmarkStart w:id="182" w:name="_Toc58580297"/>
      <w:bookmarkStart w:id="183" w:name="_Toc27687"/>
      <w:r>
        <w:rPr>
          <w:rFonts w:hint="eastAsia" w:ascii="方正小标宋简体" w:hAnsi="方正小标宋简体" w:eastAsia="方正小标宋简体" w:cs="方正小标宋简体"/>
          <w:b w:val="0"/>
          <w:bCs w:val="0"/>
          <w:sz w:val="36"/>
          <w:szCs w:val="36"/>
        </w:rPr>
        <w:t>第四章  加快城乡一体化</w:t>
      </w:r>
      <w:r>
        <w:rPr>
          <w:rFonts w:hint="eastAsia" w:ascii="方正小标宋简体" w:hAnsi="方正小标宋简体" w:eastAsia="方正小标宋简体" w:cs="方正小标宋简体"/>
          <w:b w:val="0"/>
          <w:bCs w:val="0"/>
          <w:sz w:val="36"/>
          <w:szCs w:val="36"/>
          <w:lang w:val="en-US" w:eastAsia="zh-CN"/>
        </w:rPr>
        <w:t xml:space="preserve">     高质量</w:t>
      </w:r>
      <w:r>
        <w:rPr>
          <w:rFonts w:hint="eastAsia" w:ascii="方正小标宋简体" w:hAnsi="方正小标宋简体" w:eastAsia="方正小标宋简体" w:cs="方正小标宋简体"/>
          <w:b w:val="0"/>
          <w:bCs w:val="0"/>
          <w:sz w:val="36"/>
          <w:szCs w:val="36"/>
        </w:rPr>
        <w:t>深入实施新型城镇化战略</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51B6D53">
      <w:pPr>
        <w:tabs>
          <w:tab w:val="left" w:pos="1440"/>
        </w:tabs>
        <w:adjustRightInd w:val="0"/>
        <w:snapToGrid w:val="0"/>
        <w:spacing w:line="520" w:lineRule="exact"/>
        <w:ind w:firstLine="640" w:firstLineChars="200"/>
        <w:rPr>
          <w:rFonts w:ascii="仿宋_GB2312" w:hAnsi="仿宋_GB2312" w:eastAsia="仿宋_GB2312" w:cs="仿宋_GB2312"/>
          <w:sz w:val="32"/>
          <w:szCs w:val="32"/>
        </w:rPr>
      </w:pPr>
      <w:bookmarkStart w:id="184" w:name="_Hlk45818875"/>
      <w:r>
        <w:rPr>
          <w:rFonts w:hint="eastAsia" w:ascii="仿宋_GB2312" w:hAnsi="仿宋_GB2312" w:eastAsia="仿宋_GB2312" w:cs="仿宋_GB2312"/>
          <w:sz w:val="32"/>
          <w:szCs w:val="32"/>
        </w:rPr>
        <w:t>以人的城镇化为核心，紧紧抓住“强省会”五年行动机遇，</w:t>
      </w:r>
      <w:r>
        <w:rPr>
          <w:rFonts w:hint="eastAsia" w:ascii="Times New Roman" w:hAnsi="Times New Roman" w:eastAsia="仿宋_GB2312" w:cs="Times New Roman"/>
          <w:sz w:val="32"/>
          <w:szCs w:val="32"/>
        </w:rPr>
        <w:t>大力实施城镇化提升行动，</w:t>
      </w:r>
      <w:r>
        <w:rPr>
          <w:rFonts w:hint="eastAsia" w:ascii="仿宋_GB2312" w:hAnsi="仿宋_GB2312" w:eastAsia="仿宋_GB2312" w:cs="仿宋_GB2312"/>
          <w:sz w:val="32"/>
          <w:szCs w:val="32"/>
        </w:rPr>
        <w:t>以同城大道为主轴、团圆山环线为纽带、以南移西</w:t>
      </w:r>
      <w:r>
        <w:rPr>
          <w:rFonts w:hint="eastAsia" w:ascii="仿宋_GB2312" w:hAnsi="仿宋_GB2312" w:eastAsia="仿宋_GB2312" w:cs="仿宋_GB2312"/>
          <w:sz w:val="32"/>
          <w:szCs w:val="32"/>
          <w:lang w:eastAsia="zh-CN"/>
        </w:rPr>
        <w:t>拓北连</w:t>
      </w:r>
      <w:r>
        <w:rPr>
          <w:rFonts w:hint="eastAsia" w:ascii="仿宋_GB2312" w:hAnsi="仿宋_GB2312" w:eastAsia="仿宋_GB2312" w:cs="仿宋_GB2312"/>
          <w:sz w:val="32"/>
          <w:szCs w:val="32"/>
        </w:rPr>
        <w:t>为突破，</w:t>
      </w:r>
      <w:r>
        <w:rPr>
          <w:rFonts w:hint="eastAsia" w:ascii="仿宋_GB2312" w:hAnsi="仿宋_GB2312" w:eastAsia="仿宋_GB2312" w:cs="仿宋_GB2312"/>
          <w:sz w:val="32"/>
          <w:szCs w:val="32"/>
          <w:lang w:eastAsia="zh-CN"/>
        </w:rPr>
        <w:t>着力打造韧性强高品质城镇新高地，</w:t>
      </w:r>
      <w:r>
        <w:rPr>
          <w:rFonts w:hint="eastAsia" w:ascii="仿宋_GB2312" w:hAnsi="仿宋_GB2312" w:eastAsia="仿宋_GB2312" w:cs="仿宋_GB2312"/>
          <w:sz w:val="32"/>
          <w:szCs w:val="32"/>
        </w:rPr>
        <w:t>加快融入贵阳贵安都市圈，</w:t>
      </w:r>
      <w:r>
        <w:rPr>
          <w:rFonts w:ascii="仿宋_GB2312" w:hAnsi="仿宋_GB2312" w:eastAsia="仿宋_GB2312" w:cs="仿宋_GB2312"/>
          <w:sz w:val="32"/>
          <w:szCs w:val="32"/>
        </w:rPr>
        <w:t>为贵阳</w:t>
      </w:r>
      <w:r>
        <w:rPr>
          <w:rFonts w:hint="eastAsia" w:ascii="仿宋_GB2312" w:hAnsi="仿宋_GB2312" w:eastAsia="仿宋_GB2312" w:cs="仿宋_GB2312"/>
          <w:sz w:val="32"/>
          <w:szCs w:val="32"/>
        </w:rPr>
        <w:t>迈入“特大城市”行列做出息烽贡献。</w:t>
      </w:r>
    </w:p>
    <w:p w14:paraId="0E9B305A">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185" w:name="_Toc18712"/>
      <w:bookmarkStart w:id="186" w:name="_Toc17786"/>
      <w:bookmarkStart w:id="187" w:name="_Toc22168"/>
      <w:bookmarkStart w:id="188" w:name="_Toc29108"/>
      <w:bookmarkStart w:id="189" w:name="_Toc61193791"/>
      <w:bookmarkStart w:id="190" w:name="_Toc6583"/>
      <w:bookmarkStart w:id="191" w:name="_Toc28135"/>
      <w:bookmarkStart w:id="192" w:name="_Toc9253"/>
      <w:bookmarkStart w:id="193" w:name="_Toc15245"/>
      <w:bookmarkStart w:id="194" w:name="_Toc3387"/>
      <w:bookmarkStart w:id="195" w:name="_Toc2249"/>
      <w:bookmarkStart w:id="196" w:name="_Toc24547"/>
      <w:bookmarkStart w:id="197" w:name="_Toc12509"/>
      <w:bookmarkStart w:id="198" w:name="_Toc24472"/>
      <w:bookmarkStart w:id="199" w:name="_Toc58580293"/>
      <w:bookmarkStart w:id="200" w:name="_Toc12285"/>
      <w:bookmarkStart w:id="201" w:name="_Toc49344378"/>
      <w:r>
        <w:rPr>
          <w:rFonts w:hint="eastAsia" w:ascii="方正小标宋简体" w:hAnsi="方正小标宋简体" w:eastAsia="方正小标宋简体" w:cs="方正小标宋简体"/>
          <w:b w:val="0"/>
          <w:bCs w:val="0"/>
          <w:kern w:val="0"/>
        </w:rPr>
        <w:t>第一节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优化城镇化布局形态</w:t>
      </w:r>
      <w:bookmarkEnd w:id="185"/>
      <w:bookmarkEnd w:id="186"/>
      <w:bookmarkEnd w:id="187"/>
      <w:bookmarkEnd w:id="188"/>
      <w:bookmarkEnd w:id="189"/>
      <w:bookmarkEnd w:id="190"/>
      <w:bookmarkEnd w:id="191"/>
    </w:p>
    <w:p w14:paraId="2FD269CB">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依托贵阳市北向拓展，加快融入贵阳都市圈城镇发展格局，合理推进村改居、乡镇改街道和撤县设区工作，将息烽建设成为同城大道和兰海高速（贵遵段）北部城市走廊上的宜居小城市。</w:t>
      </w:r>
      <w:r>
        <w:rPr>
          <w:rFonts w:hint="eastAsia" w:ascii="仿宋_GB2312" w:hAnsi="仿宋_GB2312" w:eastAsia="仿宋_GB2312" w:cs="仿宋_GB2312"/>
          <w:sz w:val="32"/>
          <w:szCs w:val="32"/>
          <w:lang w:eastAsia="zh-CN"/>
        </w:rPr>
        <w:t>构建新型城乡关系，</w:t>
      </w:r>
      <w:r>
        <w:rPr>
          <w:rFonts w:hint="eastAsia" w:ascii="仿宋_GB2312" w:hAnsi="仿宋_GB2312" w:eastAsia="仿宋_GB2312" w:cs="仿宋_GB2312"/>
          <w:sz w:val="32"/>
          <w:szCs w:val="32"/>
        </w:rPr>
        <w:t>按照统筹规划、合理布局、分工协作、以大带小的原则，构建中心城区和小城镇协调发展的城镇化空间格局。按照“小而精、小而美、小而特、小而优”要求，完善贵州省100个示范小城镇的提档升级，培育一批连接城乡、聚集人口、产业发展的特色小城镇。</w:t>
      </w:r>
    </w:p>
    <w:p w14:paraId="75735D38">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考虑城镇人口规模、经济实力、文化特色、交通区位及历史基础等条件，构建以中心城区为依托、重点城镇为骨干、一般城镇为基础和补充的三级城镇体系。按照控制数量、提高质量、节约用地、体现特色要求，推动重点城镇发展与疏解中心城区功能、与特色产业发展、与</w:t>
      </w:r>
      <w:r>
        <w:rPr>
          <w:rFonts w:hint="eastAsia" w:ascii="仿宋_GB2312" w:hAnsi="仿宋_GB2312" w:eastAsia="仿宋_GB2312" w:cs="仿宋_GB2312"/>
          <w:sz w:val="32"/>
          <w:szCs w:val="32"/>
          <w:lang w:eastAsia="zh-CN"/>
        </w:rPr>
        <w:t>乡村振兴战略</w:t>
      </w:r>
      <w:r>
        <w:rPr>
          <w:rFonts w:hint="eastAsia" w:ascii="仿宋_GB2312" w:hAnsi="仿宋_GB2312" w:eastAsia="仿宋_GB2312" w:cs="仿宋_GB2312"/>
          <w:sz w:val="32"/>
          <w:szCs w:val="32"/>
        </w:rPr>
        <w:t>相结合，镇域经济成为新的经济形态，建设一批文化旅游、农工贸型、商贸物流等特色城镇，一批服务于农村、带动周边的综合性小城镇，促进城镇与农村融合发展。</w:t>
      </w:r>
    </w:p>
    <w:p w14:paraId="02070E72">
      <w:pPr>
        <w:keepNext/>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息烽县城镇主要职能一览表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5484"/>
      </w:tblGrid>
      <w:tr w14:paraId="0FEE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1" w:type="dxa"/>
            <w:noWrap w:val="0"/>
            <w:vAlign w:val="top"/>
          </w:tcPr>
          <w:p w14:paraId="5C435B42">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城镇等级</w:t>
            </w:r>
          </w:p>
        </w:tc>
        <w:tc>
          <w:tcPr>
            <w:tcW w:w="1559" w:type="dxa"/>
            <w:noWrap w:val="0"/>
            <w:vAlign w:val="top"/>
          </w:tcPr>
          <w:p w14:paraId="1E686522">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城镇名称</w:t>
            </w:r>
          </w:p>
        </w:tc>
        <w:tc>
          <w:tcPr>
            <w:tcW w:w="5484" w:type="dxa"/>
            <w:noWrap w:val="0"/>
            <w:vAlign w:val="top"/>
          </w:tcPr>
          <w:p w14:paraId="5B3F7A39">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城镇职能</w:t>
            </w:r>
          </w:p>
        </w:tc>
      </w:tr>
      <w:tr w14:paraId="2AD0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271" w:type="dxa"/>
            <w:noWrap w:val="0"/>
            <w:vAlign w:val="center"/>
          </w:tcPr>
          <w:p w14:paraId="1E0DBA7B">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中心城区</w:t>
            </w:r>
          </w:p>
        </w:tc>
        <w:tc>
          <w:tcPr>
            <w:tcW w:w="1559" w:type="dxa"/>
            <w:noWrap w:val="0"/>
            <w:vAlign w:val="top"/>
          </w:tcPr>
          <w:p w14:paraId="7B47A5BF">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永阳街道</w:t>
            </w:r>
          </w:p>
          <w:p w14:paraId="6C4A948D">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永靖镇</w:t>
            </w:r>
          </w:p>
          <w:p w14:paraId="3C88C0FE">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西山镇</w:t>
            </w:r>
          </w:p>
          <w:p w14:paraId="23AF0ED7">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小寨坝镇</w:t>
            </w:r>
          </w:p>
        </w:tc>
        <w:tc>
          <w:tcPr>
            <w:tcW w:w="5484" w:type="dxa"/>
            <w:noWrap w:val="0"/>
            <w:vAlign w:val="center"/>
          </w:tcPr>
          <w:p w14:paraId="35123D89">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经济、政治、文化、行政中心</w:t>
            </w:r>
          </w:p>
          <w:p w14:paraId="5FB1B88F">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县域交通枢纽和商贸中心</w:t>
            </w:r>
          </w:p>
          <w:p w14:paraId="760969DC">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生产性及生活性综合服务中心</w:t>
            </w:r>
          </w:p>
        </w:tc>
      </w:tr>
      <w:tr w14:paraId="1E98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1" w:type="dxa"/>
            <w:vMerge w:val="restart"/>
            <w:noWrap w:val="0"/>
            <w:vAlign w:val="center"/>
          </w:tcPr>
          <w:p w14:paraId="5E4248CE">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重点城镇</w:t>
            </w:r>
          </w:p>
        </w:tc>
        <w:tc>
          <w:tcPr>
            <w:tcW w:w="1559" w:type="dxa"/>
            <w:noWrap w:val="0"/>
            <w:vAlign w:val="top"/>
          </w:tcPr>
          <w:p w14:paraId="7E0115C5">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温泉镇</w:t>
            </w:r>
          </w:p>
        </w:tc>
        <w:tc>
          <w:tcPr>
            <w:tcW w:w="5484" w:type="dxa"/>
            <w:noWrap w:val="0"/>
            <w:vAlign w:val="center"/>
          </w:tcPr>
          <w:p w14:paraId="15030343">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以温泉康养、休闲度假为主的旅游型城镇</w:t>
            </w:r>
          </w:p>
        </w:tc>
      </w:tr>
      <w:tr w14:paraId="6F30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1" w:type="dxa"/>
            <w:vMerge w:val="continue"/>
            <w:noWrap w:val="0"/>
            <w:vAlign w:val="center"/>
          </w:tcPr>
          <w:p w14:paraId="102023E9">
            <w:pPr>
              <w:spacing w:line="360" w:lineRule="exact"/>
              <w:rPr>
                <w:rFonts w:ascii="仿宋_GB2312" w:hAnsi="仿宋_GB2312" w:eastAsia="仿宋_GB2312" w:cs="仿宋_GB2312"/>
                <w:sz w:val="24"/>
                <w:szCs w:val="24"/>
              </w:rPr>
            </w:pPr>
          </w:p>
        </w:tc>
        <w:tc>
          <w:tcPr>
            <w:tcW w:w="1559" w:type="dxa"/>
            <w:noWrap w:val="0"/>
            <w:vAlign w:val="top"/>
          </w:tcPr>
          <w:p w14:paraId="769FD0DF">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九庄镇</w:t>
            </w:r>
          </w:p>
        </w:tc>
        <w:tc>
          <w:tcPr>
            <w:tcW w:w="5484" w:type="dxa"/>
            <w:noWrap w:val="0"/>
            <w:vAlign w:val="center"/>
          </w:tcPr>
          <w:p w14:paraId="05314F43">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以农产品生产、加工、物流为主的商贸型城镇</w:t>
            </w:r>
          </w:p>
        </w:tc>
      </w:tr>
      <w:tr w14:paraId="6D94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71" w:type="dxa"/>
            <w:vMerge w:val="continue"/>
            <w:noWrap w:val="0"/>
            <w:vAlign w:val="center"/>
          </w:tcPr>
          <w:p w14:paraId="32B00306">
            <w:pPr>
              <w:spacing w:line="360" w:lineRule="exact"/>
              <w:rPr>
                <w:rFonts w:ascii="仿宋_GB2312" w:hAnsi="仿宋_GB2312" w:eastAsia="仿宋_GB2312" w:cs="仿宋_GB2312"/>
                <w:sz w:val="24"/>
                <w:szCs w:val="24"/>
              </w:rPr>
            </w:pPr>
          </w:p>
        </w:tc>
        <w:tc>
          <w:tcPr>
            <w:tcW w:w="1559" w:type="dxa"/>
            <w:noWrap w:val="0"/>
            <w:vAlign w:val="top"/>
          </w:tcPr>
          <w:p w14:paraId="0628E417">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石硐镇</w:t>
            </w:r>
          </w:p>
        </w:tc>
        <w:tc>
          <w:tcPr>
            <w:tcW w:w="5484" w:type="dxa"/>
            <w:noWrap w:val="0"/>
            <w:vAlign w:val="center"/>
          </w:tcPr>
          <w:p w14:paraId="7DF03681">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以农产品生产、加工、农业观光为主的旅游型城镇</w:t>
            </w:r>
          </w:p>
        </w:tc>
      </w:tr>
      <w:tr w14:paraId="6428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1" w:type="dxa"/>
            <w:vMerge w:val="restart"/>
            <w:noWrap w:val="0"/>
            <w:vAlign w:val="center"/>
          </w:tcPr>
          <w:p w14:paraId="315C48F9">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一般城镇</w:t>
            </w:r>
          </w:p>
        </w:tc>
        <w:tc>
          <w:tcPr>
            <w:tcW w:w="1559" w:type="dxa"/>
            <w:noWrap w:val="0"/>
            <w:vAlign w:val="top"/>
          </w:tcPr>
          <w:p w14:paraId="558D2783">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养龙司镇</w:t>
            </w:r>
          </w:p>
        </w:tc>
        <w:tc>
          <w:tcPr>
            <w:tcW w:w="5484" w:type="dxa"/>
            <w:noWrap w:val="0"/>
            <w:vAlign w:val="center"/>
          </w:tcPr>
          <w:p w14:paraId="5E81B622">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以农产品生产、红色旅游为主的旅游型城镇</w:t>
            </w:r>
          </w:p>
        </w:tc>
      </w:tr>
      <w:tr w14:paraId="5DCB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vMerge w:val="continue"/>
            <w:noWrap w:val="0"/>
            <w:vAlign w:val="top"/>
          </w:tcPr>
          <w:p w14:paraId="5A4BAF78">
            <w:pPr>
              <w:spacing w:line="360" w:lineRule="exact"/>
              <w:rPr>
                <w:rFonts w:ascii="仿宋_GB2312" w:hAnsi="仿宋_GB2312" w:eastAsia="仿宋_GB2312" w:cs="仿宋_GB2312"/>
                <w:sz w:val="24"/>
                <w:szCs w:val="24"/>
              </w:rPr>
            </w:pPr>
          </w:p>
        </w:tc>
        <w:tc>
          <w:tcPr>
            <w:tcW w:w="1559" w:type="dxa"/>
            <w:noWrap w:val="0"/>
            <w:vAlign w:val="top"/>
          </w:tcPr>
          <w:p w14:paraId="75E31799">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鹿窝镇</w:t>
            </w:r>
          </w:p>
        </w:tc>
        <w:tc>
          <w:tcPr>
            <w:tcW w:w="5484" w:type="dxa"/>
            <w:noWrap w:val="0"/>
            <w:vAlign w:val="center"/>
          </w:tcPr>
          <w:p w14:paraId="190843A2">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以农产品生产、乡村旅游为主的旅游型城镇</w:t>
            </w:r>
          </w:p>
        </w:tc>
      </w:tr>
      <w:tr w14:paraId="110F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1" w:type="dxa"/>
            <w:vMerge w:val="continue"/>
            <w:noWrap w:val="0"/>
            <w:vAlign w:val="top"/>
          </w:tcPr>
          <w:p w14:paraId="4ECFA47B">
            <w:pPr>
              <w:spacing w:line="360" w:lineRule="exact"/>
              <w:rPr>
                <w:rFonts w:ascii="仿宋_GB2312" w:hAnsi="仿宋_GB2312" w:eastAsia="仿宋_GB2312" w:cs="仿宋_GB2312"/>
                <w:sz w:val="24"/>
                <w:szCs w:val="24"/>
              </w:rPr>
            </w:pPr>
          </w:p>
        </w:tc>
        <w:tc>
          <w:tcPr>
            <w:tcW w:w="1559" w:type="dxa"/>
            <w:noWrap w:val="0"/>
            <w:vAlign w:val="top"/>
          </w:tcPr>
          <w:p w14:paraId="0A6BB729">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流长镇</w:t>
            </w:r>
          </w:p>
        </w:tc>
        <w:tc>
          <w:tcPr>
            <w:tcW w:w="5484" w:type="dxa"/>
            <w:noWrap w:val="0"/>
            <w:vAlign w:val="center"/>
          </w:tcPr>
          <w:p w14:paraId="4EE7E32E">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以红色旅游、山地运动为主的文化旅游型城镇</w:t>
            </w:r>
          </w:p>
        </w:tc>
      </w:tr>
      <w:tr w14:paraId="571B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1" w:type="dxa"/>
            <w:vMerge w:val="continue"/>
            <w:noWrap w:val="0"/>
            <w:vAlign w:val="top"/>
          </w:tcPr>
          <w:p w14:paraId="6D9550BE">
            <w:pPr>
              <w:spacing w:line="360" w:lineRule="exact"/>
              <w:rPr>
                <w:rFonts w:ascii="仿宋_GB2312" w:hAnsi="仿宋_GB2312" w:eastAsia="仿宋_GB2312" w:cs="仿宋_GB2312"/>
                <w:sz w:val="24"/>
                <w:szCs w:val="24"/>
              </w:rPr>
            </w:pPr>
          </w:p>
        </w:tc>
        <w:tc>
          <w:tcPr>
            <w:tcW w:w="1559" w:type="dxa"/>
            <w:noWrap w:val="0"/>
            <w:vAlign w:val="center"/>
          </w:tcPr>
          <w:p w14:paraId="5A93A70F">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青山苗族乡</w:t>
            </w:r>
          </w:p>
        </w:tc>
        <w:tc>
          <w:tcPr>
            <w:tcW w:w="5484" w:type="dxa"/>
            <w:noWrap w:val="0"/>
            <w:vAlign w:val="center"/>
          </w:tcPr>
          <w:p w14:paraId="46B3B026">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以少数民族工艺品加工、民俗风情旅游为主的旅游型城镇</w:t>
            </w:r>
          </w:p>
        </w:tc>
      </w:tr>
    </w:tbl>
    <w:p w14:paraId="3C8A8AB6">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202" w:name="_Toc15755"/>
      <w:bookmarkStart w:id="203" w:name="_Toc15122"/>
      <w:bookmarkStart w:id="204" w:name="_Toc30307"/>
      <w:bookmarkStart w:id="205" w:name="_Toc15007"/>
      <w:bookmarkStart w:id="206" w:name="_Toc29665"/>
      <w:bookmarkStart w:id="207" w:name="_Toc17918"/>
      <w:bookmarkStart w:id="208" w:name="_Toc61193792"/>
      <w:r>
        <w:rPr>
          <w:rFonts w:hint="eastAsia" w:ascii="方正小标宋简体" w:hAnsi="方正小标宋简体" w:eastAsia="方正小标宋简体" w:cs="方正小标宋简体"/>
          <w:b w:val="0"/>
          <w:bCs w:val="0"/>
          <w:kern w:val="0"/>
        </w:rPr>
        <w:t>第二节  推进县城多组团差异化发展</w:t>
      </w:r>
      <w:bookmarkEnd w:id="202"/>
      <w:bookmarkEnd w:id="203"/>
      <w:bookmarkEnd w:id="204"/>
      <w:bookmarkEnd w:id="205"/>
      <w:bookmarkEnd w:id="206"/>
      <w:bookmarkEnd w:id="207"/>
      <w:bookmarkEnd w:id="208"/>
    </w:p>
    <w:p w14:paraId="632B4229">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主动衔接贵阳市城市空间格局，积极承接贵阳市的非主城区功能，借助新一轮国土空间规划机遇，继续延续南移西拓北联的城市发展思路，加快推进老城区旧城更新、南部城市扩展区、西部产城融合区、北部工业集聚区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做大做强县城规模，县城建成区面积拓展到12平方公里以上，助力息烽“进圈入群”，主动融入全省、全市城镇化发展新格局。</w:t>
      </w:r>
    </w:p>
    <w:p w14:paraId="4BA2C906">
      <w:pPr>
        <w:keepNext/>
        <w:keepLines/>
        <w:spacing w:line="560" w:lineRule="exact"/>
        <w:ind w:firstLine="643" w:firstLineChars="200"/>
        <w:outlineLvl w:val="2"/>
        <w:rPr>
          <w:rFonts w:ascii="黑体" w:hAnsi="黑体" w:eastAsia="黑体"/>
          <w:b/>
          <w:bCs/>
          <w:sz w:val="32"/>
          <w:szCs w:val="32"/>
        </w:rPr>
      </w:pPr>
      <w:r>
        <w:rPr>
          <w:rFonts w:hint="eastAsia" w:ascii="黑体" w:hAnsi="黑体" w:eastAsia="黑体"/>
          <w:b/>
          <w:bCs/>
          <w:sz w:val="32"/>
          <w:szCs w:val="32"/>
        </w:rPr>
        <w:t>一、老城片区</w:t>
      </w:r>
    </w:p>
    <w:p w14:paraId="4E0475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筹推进老城新建项目、旧城改造，改善整体城市风貌。加快永靖大道、同城大道两侧城市建设，打通虎城大道延伸段连接阳朗组团，引进优势资源加大大道两侧土地开发力度，推进万汇城、体育综合体等聚人气项目优先建设，推动城市向南扩展，拓展城市空间。完成</w:t>
      </w:r>
      <w:r>
        <w:rPr>
          <w:rFonts w:hint="eastAsia" w:ascii="仿宋_GB2312" w:hAnsi="仿宋_GB2312" w:eastAsia="仿宋_GB2312" w:cs="仿宋_GB2312"/>
          <w:sz w:val="32"/>
          <w:szCs w:val="32"/>
          <w:lang w:val="en-US" w:eastAsia="zh-CN"/>
        </w:rPr>
        <w:t>老气象站片区</w:t>
      </w:r>
      <w:r>
        <w:rPr>
          <w:rFonts w:hint="eastAsia" w:ascii="仿宋_GB2312" w:hAnsi="仿宋_GB2312" w:eastAsia="仿宋_GB2312" w:cs="仿宋_GB2312"/>
          <w:sz w:val="32"/>
          <w:szCs w:val="32"/>
        </w:rPr>
        <w:t>、西门</w:t>
      </w:r>
      <w:r>
        <w:rPr>
          <w:rFonts w:hint="eastAsia" w:ascii="仿宋_GB2312" w:hAnsi="仿宋_GB2312" w:eastAsia="仿宋_GB2312" w:cs="仿宋_GB2312"/>
          <w:sz w:val="32"/>
          <w:szCs w:val="32"/>
          <w:lang w:val="en-US" w:eastAsia="zh-CN"/>
        </w:rPr>
        <w:t>片区棚户区</w:t>
      </w:r>
      <w:r>
        <w:rPr>
          <w:rFonts w:hint="eastAsia" w:ascii="仿宋_GB2312" w:hAnsi="仿宋_GB2312" w:eastAsia="仿宋_GB2312" w:cs="仿宋_GB2312"/>
          <w:sz w:val="32"/>
          <w:szCs w:val="32"/>
        </w:rPr>
        <w:t>改造项目。</w:t>
      </w:r>
      <w:r>
        <w:rPr>
          <w:rFonts w:hint="eastAsia" w:ascii="仿宋_GB2312" w:eastAsia="仿宋_GB2312" w:cs="仿宋_GB2312"/>
          <w:sz w:val="32"/>
          <w:szCs w:val="32"/>
        </w:rPr>
        <w:t>完成棚户区改造1670户、老旧小区改造1363户</w:t>
      </w:r>
      <w:r>
        <w:rPr>
          <w:rFonts w:hint="eastAsia" w:ascii="仿宋_GB2312" w:hAnsi="仿宋_GB2312" w:eastAsia="仿宋_GB2312" w:cs="仿宋_GB2312"/>
          <w:sz w:val="32"/>
          <w:szCs w:val="32"/>
        </w:rPr>
        <w:t>。到2025年，全面完成聆水湾、御山邸、南门、西门等棚户区改造联动房地产开发项目，基本消除城市棚户区。不断完善老城基础配套设施，解决县城公共服务设施不足、停车设施不足、道路拥堵、公共绿地缺乏、农贸市场、医疗设施、教育设施和商业设施相对陈旧等问题。</w:t>
      </w:r>
    </w:p>
    <w:p w14:paraId="637CC34C">
      <w:pPr>
        <w:keepNext/>
        <w:keepLines/>
        <w:spacing w:line="560" w:lineRule="exact"/>
        <w:ind w:firstLine="643" w:firstLineChars="200"/>
        <w:outlineLvl w:val="2"/>
        <w:rPr>
          <w:rFonts w:ascii="黑体" w:hAnsi="黑体" w:eastAsia="黑体"/>
          <w:b/>
          <w:bCs/>
          <w:sz w:val="32"/>
          <w:szCs w:val="32"/>
        </w:rPr>
      </w:pPr>
      <w:r>
        <w:rPr>
          <w:rFonts w:hint="eastAsia" w:ascii="黑体" w:hAnsi="黑体" w:eastAsia="黑体"/>
          <w:b/>
          <w:bCs/>
          <w:sz w:val="32"/>
          <w:szCs w:val="32"/>
        </w:rPr>
        <w:t>二、南部城市扩展区</w:t>
      </w:r>
    </w:p>
    <w:p w14:paraId="3A1A48C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加快谋划南部城市拓展区发展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中心城区南移发展思路下，以南部城市拓展区城市建设为契机，积极融入贵阳市北部产业组团发展，加快和贵阳一体化、同城化发展。依托美丽南山田园综合体、优质温泉资源（南山温泉）、丰富农业资源、深厚红色文化等，高标准、高起点编制《南山片区概念性总体规划》，积极推进南部城市拓展区建设成为息烽新型城镇化的展示窗口、城乡融合的共生典范、乡村振兴的示范引领。重点发展温泉养生、避暑康养、红色旅游、旅游地产、商贸服务等业态，向北承接息烽老城区城镇功能，向南与修文、开阳实现区域联动，共同建设贵阳市北部产业组团。</w:t>
      </w:r>
    </w:p>
    <w:p w14:paraId="2B45B4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城市通道建设。完成同城大道息烽南至阳朗段施工建设，加快推进同城大道息烽南段建设，争取市级支持协调修文同步启动同城大道久长至息烽南段建设，打通同城化发展通道。重点围绕同城大道、贵金古高速联络线、青流大道两侧和南山田园综合体、南山温泉等区域，加快建设用地收储，完善土地一级开发，积极引入开发主体加快南部城市拓展区开发。推进南山温泉再开发、南山国有林场开发、南山田园综合体提升、</w:t>
      </w:r>
      <w:r>
        <w:rPr>
          <w:rFonts w:hint="eastAsia" w:ascii="仿宋_GB2312" w:hAnsi="仿宋_GB2312" w:eastAsia="仿宋_GB2312" w:cs="仿宋_GB2312"/>
          <w:sz w:val="32"/>
          <w:szCs w:val="32"/>
          <w:lang w:eastAsia="zh-CN"/>
        </w:rPr>
        <w:t>贵阳市委党校息烽现场教学基地</w:t>
      </w:r>
      <w:r>
        <w:rPr>
          <w:rFonts w:hint="eastAsia" w:ascii="仿宋_GB2312" w:hAnsi="仿宋_GB2312" w:eastAsia="仿宋_GB2312" w:cs="仿宋_GB2312"/>
          <w:sz w:val="32"/>
          <w:szCs w:val="32"/>
        </w:rPr>
        <w:t>建设等。</w:t>
      </w:r>
    </w:p>
    <w:p w14:paraId="41621DD2">
      <w:pPr>
        <w:keepNext/>
        <w:keepLines/>
        <w:spacing w:line="560" w:lineRule="exact"/>
        <w:ind w:firstLine="643" w:firstLineChars="200"/>
        <w:outlineLvl w:val="2"/>
        <w:rPr>
          <w:rFonts w:ascii="黑体" w:hAnsi="黑体" w:eastAsia="黑体"/>
          <w:b/>
          <w:bCs/>
          <w:sz w:val="32"/>
          <w:szCs w:val="32"/>
        </w:rPr>
      </w:pPr>
      <w:r>
        <w:rPr>
          <w:rFonts w:hint="eastAsia" w:ascii="黑体" w:hAnsi="黑体" w:eastAsia="黑体"/>
          <w:b/>
          <w:bCs/>
          <w:sz w:val="32"/>
          <w:szCs w:val="32"/>
        </w:rPr>
        <w:t>三、西部产城融合区</w:t>
      </w:r>
    </w:p>
    <w:p w14:paraId="4E502E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西山片区产城融合建设。在中心城区西拓发展思路下，积极拓展用地空间，注重生产服务与生活服务要素核心配套发展，将西山片区打造产城融合试验区。紧紧围绕团圆山环线，以腾退低效用地、向山要地等方式拓展产业空间和城市空间，着力发展生产性服务业，集聚发展服务外包、总集成总承包、总部经济等高端服务业，增强生产性服务业配套承接能力及水平，扩大服务供给。围绕重点项目，积极推进“平安驛”配套建设村寨民宿旅游、“归田园居”度假村项目，完善</w:t>
      </w:r>
      <w:r>
        <w:rPr>
          <w:rFonts w:ascii="仿宋_GB2312" w:hAnsi="仿宋_GB2312" w:eastAsia="仿宋_GB2312" w:cs="仿宋_GB2312"/>
          <w:sz w:val="32"/>
          <w:szCs w:val="32"/>
        </w:rPr>
        <w:t>吃、游、住、娱等</w:t>
      </w:r>
      <w:r>
        <w:rPr>
          <w:rFonts w:hint="eastAsia" w:ascii="仿宋_GB2312" w:hAnsi="仿宋_GB2312" w:eastAsia="仿宋_GB2312" w:cs="仿宋_GB2312"/>
          <w:sz w:val="32"/>
          <w:szCs w:val="32"/>
        </w:rPr>
        <w:t>基础服务设施，提升生活品质。构建与老城区错位发展、良性互动的产业发展格局，</w:t>
      </w:r>
      <w:r>
        <w:rPr>
          <w:rFonts w:ascii="仿宋_GB2312" w:hAnsi="仿宋_GB2312" w:eastAsia="仿宋_GB2312" w:cs="仿宋_GB2312"/>
          <w:sz w:val="32"/>
          <w:szCs w:val="32"/>
        </w:rPr>
        <w:t>将</w:t>
      </w:r>
      <w:r>
        <w:rPr>
          <w:rFonts w:hint="eastAsia" w:ascii="仿宋_GB2312" w:hAnsi="仿宋_GB2312" w:eastAsia="仿宋_GB2312" w:cs="仿宋_GB2312"/>
          <w:sz w:val="32"/>
          <w:szCs w:val="32"/>
        </w:rPr>
        <w:t>旅游项目、</w:t>
      </w:r>
      <w:r>
        <w:rPr>
          <w:rFonts w:ascii="仿宋_GB2312" w:hAnsi="仿宋_GB2312" w:eastAsia="仿宋_GB2312" w:cs="仿宋_GB2312"/>
          <w:sz w:val="32"/>
          <w:szCs w:val="32"/>
        </w:rPr>
        <w:t>产业园区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城市发展融为一体、整体规划，促进城市空间与产业空间高度契合。</w:t>
      </w:r>
    </w:p>
    <w:p w14:paraId="5F5F6F3C">
      <w:pPr>
        <w:keepNext/>
        <w:keepLines/>
        <w:spacing w:line="560" w:lineRule="exact"/>
        <w:ind w:firstLine="643" w:firstLineChars="200"/>
        <w:outlineLvl w:val="2"/>
        <w:rPr>
          <w:rFonts w:ascii="黑体" w:hAnsi="黑体" w:eastAsia="黑体"/>
          <w:b/>
          <w:bCs/>
          <w:sz w:val="32"/>
          <w:szCs w:val="32"/>
        </w:rPr>
      </w:pPr>
      <w:r>
        <w:rPr>
          <w:rFonts w:hint="eastAsia" w:ascii="黑体" w:hAnsi="黑体" w:eastAsia="黑体"/>
          <w:b/>
          <w:bCs/>
          <w:sz w:val="32"/>
          <w:szCs w:val="32"/>
        </w:rPr>
        <w:t>四、北部工业集聚区</w:t>
      </w:r>
    </w:p>
    <w:p w14:paraId="697C8F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加快小寨坝片区产城发展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以经开区拓区建设为引领，为发展实体经济、打造中高端制造业核心配套区提供重要空间支撑。统筹推进工业产业集聚发展、产业园区基础设施改造升级等重大工程，加速聚集人流、资金流和工业产业，着力打造重要实体经济承载区。加快磷煤化工生态工业基地建设，在化学原料药产业园和磷化集团磷煤化工基地两大龙头企业的带动下，吸引高新企业入驻，建设成为以现代化工、化学原料药为核心的循环经济产业园区；加快将尹庵产业园以“飞地园区”发展模式作为经开区拓区用地及产业承接地区，改造升级磷化工产业，培育发展新型材料，促进产业集约化规模发展，将磷煤化工生态基地+尹庵产业园区构建的“一园两组团”共同推进现代化工转型升级和提质增效，努力建设全国主要的现代化工产业基地、磷系新型材料基地。借助双层集装箱运输通道、纳雍—黔西—息烽—开阳—瓮安重化工铁路两条货运通道，推进物流基地建设，以象道物流园为龙头推进小寨坝物流园建设。推进传统企业治理改造和搬迁，承接老城区产业转移，大力推动整合现有企业、新引进企业统一规划布局，引导工业向经开区集中，推动产业集群集聚发展，形成特色明显、优势突出、长短结合、配套完善的产业体系和现代化产业园区。</w:t>
      </w:r>
    </w:p>
    <w:p w14:paraId="3C824B05">
      <w:pPr>
        <w:pStyle w:val="4"/>
        <w:spacing w:before="0" w:beforeLines="0" w:after="0" w:afterLines="0" w:line="560" w:lineRule="exact"/>
        <w:jc w:val="center"/>
        <w:rPr>
          <w:rFonts w:ascii="方正小标宋简体" w:hAnsi="方正小标宋简体" w:eastAsia="方正小标宋简体" w:cs="方正小标宋简体"/>
          <w:b w:val="0"/>
          <w:bCs w:val="0"/>
          <w:kern w:val="0"/>
        </w:rPr>
      </w:pPr>
      <w:bookmarkStart w:id="209" w:name="_Toc22793"/>
      <w:bookmarkStart w:id="210" w:name="_Toc8328"/>
      <w:bookmarkStart w:id="211" w:name="_Toc29854"/>
      <w:bookmarkStart w:id="212" w:name="_Toc61193793"/>
      <w:bookmarkStart w:id="213" w:name="_Toc21910"/>
      <w:bookmarkStart w:id="214" w:name="_Toc23948"/>
      <w:bookmarkStart w:id="215" w:name="_Toc16142"/>
      <w:r>
        <w:rPr>
          <w:rFonts w:hint="eastAsia" w:ascii="方正小标宋简体" w:hAnsi="方正小标宋简体" w:eastAsia="方正小标宋简体" w:cs="方正小标宋简体"/>
          <w:b w:val="0"/>
          <w:bCs w:val="0"/>
          <w:kern w:val="0"/>
        </w:rPr>
        <w:t>第三节  聚力提升城镇品质</w:t>
      </w:r>
      <w:bookmarkEnd w:id="192"/>
      <w:bookmarkEnd w:id="193"/>
      <w:bookmarkEnd w:id="194"/>
      <w:bookmarkEnd w:id="195"/>
      <w:bookmarkEnd w:id="196"/>
      <w:bookmarkEnd w:id="197"/>
      <w:bookmarkEnd w:id="198"/>
      <w:bookmarkEnd w:id="199"/>
      <w:bookmarkEnd w:id="200"/>
      <w:bookmarkEnd w:id="209"/>
      <w:bookmarkEnd w:id="210"/>
      <w:bookmarkEnd w:id="211"/>
      <w:bookmarkEnd w:id="212"/>
      <w:bookmarkEnd w:id="213"/>
      <w:bookmarkEnd w:id="214"/>
      <w:bookmarkEnd w:id="215"/>
    </w:p>
    <w:p w14:paraId="59878347">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加强城市管理提升城市品质。</w:t>
      </w:r>
      <w:r>
        <w:rPr>
          <w:rFonts w:hint="eastAsia" w:ascii="仿宋_GB2312" w:hAnsi="仿宋_GB2312" w:eastAsia="仿宋_GB2312" w:cs="仿宋_GB2312"/>
          <w:sz w:val="32"/>
          <w:szCs w:val="32"/>
        </w:rPr>
        <w:t>统筹推进精神文化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生态文明、</w:t>
      </w:r>
      <w:r>
        <w:rPr>
          <w:rFonts w:ascii="仿宋_GB2312" w:hAnsi="仿宋_GB2312" w:eastAsia="仿宋_GB2312" w:cs="仿宋_GB2312"/>
          <w:sz w:val="32"/>
          <w:szCs w:val="32"/>
        </w:rPr>
        <w:t>城市</w:t>
      </w:r>
      <w:r>
        <w:rPr>
          <w:rFonts w:hint="eastAsia" w:ascii="仿宋_GB2312" w:hAnsi="仿宋_GB2312" w:eastAsia="仿宋_GB2312" w:cs="仿宋_GB2312"/>
          <w:sz w:val="32"/>
          <w:szCs w:val="32"/>
        </w:rPr>
        <w:t>风貌、居住环境等齐头并进，提升城市功能和品质。抓好县城精神文化建设，重点针对红色文化、龙马文化的深入挖掘；抓好环境卫生，规范物业管理，重点加强对居民小区、背街小巷、旧城区、城中村的有效管理；着力抓好秩序整治，重点对交通秩序、流动摊点、占道经营、乱停乱放、乱搭乱建、乱穿马路、乱闯红灯等行为进行规范；着力抓好主街立面，统筹推进提升主街道，重点整治广告牌、霓虹灯、高低压电线、通讯线路等；抓好窗口单位服务，特别是行政服务中心、高铁站、电影院、网吧、商场等公共服务场所环境整治和服务；抓好重要节点，着重整治广场、游园、农贸市场等地环境；抓好硬件建设，加大道路、市政、文化等建设步伐，全面提升城市基础设施水平，以点带面，带动县城风貌、居住环境的提升。</w:t>
      </w:r>
    </w:p>
    <w:p w14:paraId="363D73B3">
      <w:pPr>
        <w:spacing w:line="560" w:lineRule="exact"/>
        <w:ind w:firstLine="643" w:firstLineChars="200"/>
        <w:rPr>
          <w:rFonts w:ascii="楷体_GB2312" w:hAnsi="楷体_GB2312" w:eastAsia="楷体_GB2312" w:cs="楷体_GB2312"/>
          <w:b/>
          <w:bCs/>
          <w:color w:val="000000"/>
          <w:sz w:val="32"/>
          <w:szCs w:val="32"/>
        </w:rPr>
      </w:pPr>
      <w:r>
        <w:rPr>
          <w:rFonts w:hint="eastAsia" w:ascii="黑体" w:hAnsi="黑体" w:eastAsia="黑体"/>
          <w:b/>
          <w:bCs/>
          <w:color w:val="000000"/>
          <w:sz w:val="32"/>
          <w:szCs w:val="32"/>
        </w:rPr>
        <w:t>以产业集聚人气</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kern w:val="0"/>
          <w:sz w:val="32"/>
          <w:szCs w:val="32"/>
        </w:rPr>
        <w:t>要</w:t>
      </w:r>
      <w:r>
        <w:rPr>
          <w:rFonts w:hint="eastAsia" w:ascii="仿宋_GB2312" w:hAnsi="仿宋_GB2312" w:eastAsia="仿宋_GB2312" w:cs="仿宋_GB2312"/>
          <w:color w:val="000000"/>
          <w:sz w:val="32"/>
          <w:szCs w:val="32"/>
        </w:rPr>
        <w:t>按照“建城市、聚人气”的思路，以县城作为城镇化建设的重要载体，发展以人为核心的城镇化。</w:t>
      </w:r>
      <w:r>
        <w:rPr>
          <w:rFonts w:hint="eastAsia" w:ascii="仿宋_GB2312" w:hAnsi="仿宋_GB2312" w:eastAsia="仿宋_GB2312" w:cs="仿宋_GB2312"/>
          <w:color w:val="000000"/>
          <w:kern w:val="0"/>
          <w:sz w:val="32"/>
          <w:szCs w:val="32"/>
        </w:rPr>
        <w:t>要做大城镇规模，</w:t>
      </w:r>
      <w:r>
        <w:rPr>
          <w:rFonts w:hint="eastAsia" w:ascii="仿宋_GB2312" w:hAnsi="仿宋_GB2312" w:eastAsia="仿宋_GB2312" w:cs="仿宋_GB2312"/>
          <w:color w:val="000000"/>
          <w:sz w:val="32"/>
          <w:szCs w:val="32"/>
        </w:rPr>
        <w:t>大力发展工业、服务业，力争新</w:t>
      </w:r>
      <w:r>
        <w:rPr>
          <w:rFonts w:hint="eastAsia" w:ascii="仿宋_GB2312" w:eastAsia="仿宋_GB2312" w:cs="仿宋_GB2312"/>
          <w:color w:val="000000"/>
          <w:sz w:val="32"/>
          <w:szCs w:val="32"/>
        </w:rPr>
        <w:t>拓展工业就业岗位、服务业就业岗位20万个以上，</w:t>
      </w:r>
      <w:r>
        <w:rPr>
          <w:rFonts w:hint="eastAsia" w:ascii="仿宋_GB2312" w:hAnsi="仿宋_GB2312" w:eastAsia="仿宋_GB2312" w:cs="仿宋_GB2312"/>
          <w:color w:val="000000"/>
          <w:kern w:val="0"/>
          <w:sz w:val="32"/>
          <w:szCs w:val="32"/>
        </w:rPr>
        <w:t>让更多的农民进城和吸引外来人口，</w:t>
      </w:r>
      <w:r>
        <w:rPr>
          <w:rFonts w:hint="eastAsia" w:ascii="仿宋_GB2312" w:eastAsia="仿宋_GB2312"/>
          <w:color w:val="000000"/>
          <w:sz w:val="32"/>
        </w:rPr>
        <w:t>不断促进人口向县城集聚。</w:t>
      </w:r>
      <w:r>
        <w:rPr>
          <w:rFonts w:hint="eastAsia" w:ascii="仿宋_GB2312" w:hAnsi="仿宋_GB2312" w:eastAsia="仿宋_GB2312" w:cs="仿宋_GB2312"/>
          <w:color w:val="000000"/>
          <w:sz w:val="32"/>
          <w:szCs w:val="32"/>
        </w:rPr>
        <w:t>力争到2035年，常住人口达40万人，城镇化水平达70%以上。</w:t>
      </w:r>
    </w:p>
    <w:bookmarkEnd w:id="184"/>
    <w:bookmarkEnd w:id="201"/>
    <w:p w14:paraId="6257B4A3">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216" w:name="_Toc22265"/>
      <w:bookmarkStart w:id="217" w:name="_Toc21788"/>
      <w:bookmarkStart w:id="218" w:name="_Toc17005"/>
      <w:bookmarkStart w:id="219" w:name="_Toc6797"/>
      <w:bookmarkStart w:id="220" w:name="_Toc31897"/>
      <w:bookmarkStart w:id="221" w:name="_Toc20163"/>
      <w:bookmarkStart w:id="222" w:name="_Toc27425"/>
      <w:bookmarkStart w:id="223" w:name="_Toc7805"/>
      <w:bookmarkStart w:id="224" w:name="_Toc31649"/>
      <w:bookmarkStart w:id="225" w:name="_Toc61193794"/>
      <w:bookmarkStart w:id="226" w:name="_Toc32470"/>
      <w:bookmarkStart w:id="227" w:name="_Toc18414"/>
      <w:bookmarkStart w:id="228" w:name="_Toc18060"/>
      <w:bookmarkStart w:id="229" w:name="_Toc3787"/>
      <w:bookmarkStart w:id="230" w:name="_Toc31738"/>
      <w:bookmarkStart w:id="231" w:name="_Toc58580295"/>
      <w:bookmarkStart w:id="232" w:name="_Toc49344381"/>
      <w:r>
        <w:rPr>
          <w:rFonts w:hint="eastAsia" w:ascii="方正小标宋简体" w:hAnsi="方正小标宋简体" w:eastAsia="方正小标宋简体" w:cs="方正小标宋简体"/>
          <w:b w:val="0"/>
          <w:bCs w:val="0"/>
          <w:kern w:val="0"/>
        </w:rPr>
        <w:t>第四节  推进特色小城镇建设</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8AC19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依托产业支撑，充分利用乡镇资源优势，培育特色小城镇。</w:t>
      </w:r>
    </w:p>
    <w:p w14:paraId="1B45E78D">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温泉镇</w:t>
      </w:r>
      <w:r>
        <w:rPr>
          <w:rFonts w:hint="eastAsia" w:ascii="仿宋_GB2312" w:hAnsi="仿宋_GB2312" w:eastAsia="仿宋_GB2312" w:cs="仿宋_GB2312"/>
          <w:b/>
          <w:bCs/>
          <w:sz w:val="32"/>
          <w:szCs w:val="32"/>
        </w:rPr>
        <w:t>：</w:t>
      </w:r>
      <w:r>
        <w:rPr>
          <w:rFonts w:ascii="楷体_GB2312" w:hAnsi="楷体_GB2312" w:eastAsia="楷体_GB2312" w:cs="楷体_GB2312"/>
          <w:b/>
          <w:bCs/>
          <w:sz w:val="32"/>
          <w:szCs w:val="32"/>
        </w:rPr>
        <w:t>温泉健康养生旅游小城镇。</w:t>
      </w:r>
      <w:r>
        <w:rPr>
          <w:rFonts w:hint="eastAsia" w:ascii="仿宋_GB2312" w:hAnsi="仿宋_GB2312" w:eastAsia="仿宋_GB2312" w:cs="仿宋_GB2312"/>
          <w:sz w:val="32"/>
          <w:szCs w:val="32"/>
        </w:rPr>
        <w:t>创新城镇发展建设模式，依托镇区息烽温泉疗养院现状配套设施为基础，建强区域综合旅游服务设施，合理开放全镇旅游资源，做全产业链构建，最终形成以息烽温泉疗养院为核心景区，赶子村田园综合体等项目为配套景区，串点成线，带动整个温泉镇旅游产业发展。</w:t>
      </w:r>
    </w:p>
    <w:p w14:paraId="022CFAEC">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九庄镇</w:t>
      </w:r>
      <w:r>
        <w:rPr>
          <w:rFonts w:ascii="楷体_GB2312" w:hAnsi="楷体_GB2312" w:eastAsia="楷体_GB2312" w:cs="楷体_GB2312"/>
          <w:b/>
          <w:bCs/>
          <w:sz w:val="32"/>
          <w:szCs w:val="32"/>
        </w:rPr>
        <w:t>：绿色生态食品加工工业小城镇。</w:t>
      </w:r>
      <w:r>
        <w:rPr>
          <w:rFonts w:hint="eastAsia" w:ascii="仿宋_GB2312" w:hAnsi="仿宋_GB2312" w:eastAsia="仿宋_GB2312" w:cs="仿宋_GB2312"/>
          <w:sz w:val="32"/>
          <w:szCs w:val="32"/>
        </w:rPr>
        <w:t>继续发挥贵州省100个示范小城镇的优势，将临近高速公路出入口的区域建设成为城镇发展区和工业聚集发展区。以吊瓜、脆红李、肉鸡为产业依托，加快建设绿色生态食品加工园区，配套建设冷链物流仓储基地、特色农产品展出中心、农产品商贸中心等功能板块。</w:t>
      </w:r>
    </w:p>
    <w:p w14:paraId="1522DD79">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石硐镇</w:t>
      </w:r>
      <w:r>
        <w:rPr>
          <w:rFonts w:ascii="楷体_GB2312" w:hAnsi="楷体_GB2312" w:eastAsia="楷体_GB2312" w:cs="楷体_GB2312"/>
          <w:b/>
          <w:bCs/>
          <w:sz w:val="32"/>
          <w:szCs w:val="32"/>
        </w:rPr>
        <w:t>：精品水果和蔬菜生产加工特色小城镇。</w:t>
      </w:r>
      <w:r>
        <w:rPr>
          <w:rFonts w:hint="eastAsia" w:ascii="仿宋_GB2312" w:hAnsi="仿宋_GB2312" w:eastAsia="仿宋_GB2312" w:cs="仿宋_GB2312"/>
          <w:sz w:val="32"/>
          <w:szCs w:val="32"/>
        </w:rPr>
        <w:t>以猕猴桃、脆红李和贵阳市标准保供蔬菜园区为引领，推进农业产业园区规模化、标准化、品质化、品牌化打造。抢抓贵金古高速双石站出口优势，建设农产品深加工、冷链物流基地，加快农产品输出至成渝经济圈、北部湾经济圈、一带一路沿线国家、城市。高质量推进苌楚庄园田园综合体建设，集“大健康+文化旅游+品质人居”为一体，融入全域旅游格局。</w:t>
      </w:r>
    </w:p>
    <w:p w14:paraId="052C3846">
      <w:pPr>
        <w:spacing w:line="560" w:lineRule="exact"/>
        <w:ind w:firstLine="643" w:firstLineChars="200"/>
        <w:rPr>
          <w:rFonts w:ascii="仿宋_GB2312" w:eastAsia="仿宋_GB2312" w:cs="仿宋_GB2312"/>
          <w:sz w:val="32"/>
          <w:szCs w:val="32"/>
        </w:rPr>
      </w:pPr>
      <w:r>
        <w:rPr>
          <w:rFonts w:hint="eastAsia" w:ascii="楷体_GB2312" w:hAnsi="楷体_GB2312" w:eastAsia="楷体_GB2312" w:cs="楷体_GB2312"/>
          <w:b/>
          <w:bCs/>
          <w:sz w:val="32"/>
          <w:szCs w:val="32"/>
        </w:rPr>
        <w:t>青山苗族乡：民族特色乡村避暑康养旅游小城镇。</w:t>
      </w:r>
      <w:r>
        <w:rPr>
          <w:rFonts w:hint="eastAsia" w:ascii="仿宋_GB2312" w:eastAsia="仿宋_GB2312" w:cs="仿宋_GB2312"/>
          <w:sz w:val="32"/>
          <w:szCs w:val="32"/>
        </w:rPr>
        <w:t>依托少数民族文化等特色资源，以青花苗乡田园综合体为抓手，以苗族刺绣手工艺品加工业和民俗体验乡村旅游业为主导，建立以脆红李、刺梨、猕猴桃、玫瑰等为主的各色庄园。开发</w:t>
      </w:r>
      <w:r>
        <w:rPr>
          <w:rFonts w:ascii="仿宋_GB2312" w:eastAsia="仿宋_GB2312" w:cs="仿宋_GB2312"/>
          <w:sz w:val="32"/>
          <w:szCs w:val="32"/>
        </w:rPr>
        <w:t>民族文化节庆、</w:t>
      </w:r>
      <w:r>
        <w:rPr>
          <w:rFonts w:hint="eastAsia" w:ascii="仿宋_GB2312" w:eastAsia="仿宋_GB2312" w:cs="仿宋_GB2312"/>
          <w:sz w:val="32"/>
          <w:szCs w:val="32"/>
        </w:rPr>
        <w:t>民族体育竞技等场景表演，苗医体验、刺绣、</w:t>
      </w:r>
      <w:r>
        <w:rPr>
          <w:rFonts w:ascii="仿宋_GB2312" w:eastAsia="仿宋_GB2312" w:cs="仿宋_GB2312"/>
          <w:sz w:val="32"/>
          <w:szCs w:val="32"/>
        </w:rPr>
        <w:t>芦笙舞、</w:t>
      </w:r>
      <w:r>
        <w:rPr>
          <w:rFonts w:hint="eastAsia" w:ascii="仿宋_GB2312" w:eastAsia="仿宋_GB2312" w:cs="仿宋_GB2312"/>
          <w:sz w:val="32"/>
          <w:szCs w:val="32"/>
        </w:rPr>
        <w:t>美食品尝等体验式项目，将乡村建设、山地农业、民族文化、红色文化等通过庄园形式融入息烽南部大格局，打造集苗族传统特色建筑风格、非物质文化遗产展示、避暑观光、特色餐饮、文娱表演、互动体验、康养苗药于一体的民族特色旅游小城镇。</w:t>
      </w:r>
    </w:p>
    <w:p w14:paraId="76244CF0">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流长镇</w:t>
      </w:r>
      <w:r>
        <w:rPr>
          <w:rFonts w:ascii="楷体_GB2312" w:hAnsi="楷体_GB2312" w:eastAsia="楷体_GB2312" w:cs="楷体_GB2312"/>
          <w:b/>
          <w:bCs/>
          <w:sz w:val="32"/>
          <w:szCs w:val="32"/>
        </w:rPr>
        <w:t>：红色生态旅游小城镇。</w:t>
      </w:r>
      <w:r>
        <w:rPr>
          <w:rFonts w:hint="eastAsia" w:ascii="仿宋_GB2312" w:hAnsi="仿宋_GB2312" w:eastAsia="仿宋_GB2312" w:cs="仿宋_GB2312"/>
          <w:sz w:val="32"/>
          <w:szCs w:val="32"/>
        </w:rPr>
        <w:t>以“红色+党建”“红色+运动”“红色+旅游”为抓手，大力发展红色产业，助力经济发展。成立党建综合体，统一规划引导建设流长，注重挖掘城镇自然、人文资源，强化“半岛”环境特征，以水为廊，结合乌江流域两侧山体、水域、红色文化，打造水上红色文化观光、体验区。结合水域建设以休闲游览、教育培训为主的红色文化长征公园等滨水景点以及以红色长征体验、红色山地运动为主的红色教育基地等体验项目。</w:t>
      </w:r>
    </w:p>
    <w:p w14:paraId="453C102F">
      <w:pPr>
        <w:widowControl/>
        <w:spacing w:line="560" w:lineRule="exact"/>
        <w:ind w:firstLine="643" w:firstLineChars="200"/>
        <w:jc w:val="left"/>
      </w:pPr>
      <w:r>
        <w:rPr>
          <w:rFonts w:hint="eastAsia" w:ascii="楷体_GB2312" w:hAnsi="楷体_GB2312" w:eastAsia="楷体_GB2312" w:cs="楷体_GB2312"/>
          <w:b/>
          <w:bCs/>
          <w:sz w:val="32"/>
          <w:szCs w:val="32"/>
        </w:rPr>
        <w:t>鹿窝镇：绿水青山生态小城镇。</w:t>
      </w:r>
      <w:r>
        <w:rPr>
          <w:rFonts w:hint="eastAsia" w:ascii="仿宋_GB2312" w:hAnsi="宋体" w:eastAsia="仿宋_GB2312" w:cs="仿宋_GB2312"/>
          <w:color w:val="000000"/>
          <w:kern w:val="0"/>
          <w:sz w:val="31"/>
          <w:szCs w:val="31"/>
        </w:rPr>
        <w:t>依托</w:t>
      </w:r>
      <w:r>
        <w:rPr>
          <w:rFonts w:hint="eastAsia" w:ascii="仿宋_GB2312" w:eastAsia="仿宋_GB2312"/>
          <w:color w:val="000000"/>
          <w:sz w:val="32"/>
          <w:szCs w:val="32"/>
        </w:rPr>
        <w:t>“中国绿色名乡”“</w:t>
      </w:r>
      <w:r>
        <w:rPr>
          <w:rFonts w:hint="eastAsia" w:ascii="仿宋_GB2312" w:hAnsi="宋体" w:eastAsia="仿宋_GB2312" w:cs="仿宋_GB2312"/>
          <w:color w:val="000000"/>
          <w:kern w:val="0"/>
          <w:sz w:val="31"/>
          <w:szCs w:val="31"/>
        </w:rPr>
        <w:t>新时代·</w:t>
      </w:r>
      <w:r>
        <w:rPr>
          <w:rFonts w:hint="eastAsia" w:ascii="仿宋_GB2312" w:eastAsia="仿宋_GB2312"/>
          <w:color w:val="000000"/>
          <w:sz w:val="32"/>
          <w:szCs w:val="32"/>
        </w:rPr>
        <w:t>中国最美绿水青山生态强镇”名片，做好水资源文章，</w:t>
      </w:r>
      <w:r>
        <w:rPr>
          <w:rFonts w:hint="eastAsia" w:ascii="仿宋_GB2312" w:hAnsi="仿宋_GB2312" w:eastAsia="仿宋_GB2312" w:cs="仿宋_GB2312"/>
          <w:sz w:val="32"/>
          <w:szCs w:val="32"/>
        </w:rPr>
        <w:t>充分挖掘鹿窝旅游资源、文化底蕴和民间民俗，</w:t>
      </w:r>
      <w:r>
        <w:rPr>
          <w:rFonts w:hint="eastAsia" w:ascii="仿宋_GB2312" w:eastAsia="仿宋_GB2312"/>
          <w:color w:val="000000"/>
          <w:sz w:val="32"/>
          <w:szCs w:val="32"/>
        </w:rPr>
        <w:t>以</w:t>
      </w:r>
      <w:r>
        <w:rPr>
          <w:rFonts w:hint="eastAsia" w:ascii="仿宋_GB2312" w:hAnsi="宋体" w:eastAsia="仿宋_GB2312" w:cs="仿宋_GB2312"/>
          <w:color w:val="000000"/>
          <w:kern w:val="0"/>
          <w:sz w:val="31"/>
          <w:szCs w:val="31"/>
        </w:rPr>
        <w:t xml:space="preserve">报恩寺红军坟、梯子岩渡口、狗钻洞等红军长征红色文化，乌江峡、姊妹峰、九龙岗、佛香湾等旅游风景点为载体，依据枇杷、桃子、李子、生态渔等特色产业，结合鹿窝丰富的森林资源和水资源，对瓮桶河、雨淋河进行开发，打造以鹿龙、老窝、三友为核心的农旅结合的绿水青山生态小城镇。 </w:t>
      </w:r>
    </w:p>
    <w:p w14:paraId="55DD4538">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233" w:name="_Toc4929"/>
      <w:bookmarkStart w:id="234" w:name="_Toc24683"/>
      <w:bookmarkStart w:id="235" w:name="_Toc24601"/>
      <w:bookmarkStart w:id="236" w:name="_Toc10625"/>
      <w:bookmarkStart w:id="237" w:name="_Toc7230"/>
      <w:bookmarkStart w:id="238" w:name="_Toc61193795"/>
      <w:bookmarkStart w:id="239" w:name="_Toc6142"/>
      <w:bookmarkStart w:id="240" w:name="_Toc13912"/>
      <w:bookmarkStart w:id="241" w:name="_Toc30262"/>
      <w:bookmarkStart w:id="242" w:name="_Toc16265"/>
      <w:bookmarkStart w:id="243" w:name="_Toc26638"/>
      <w:bookmarkStart w:id="244" w:name="_Toc26990"/>
      <w:bookmarkStart w:id="245" w:name="_Toc24974"/>
      <w:bookmarkStart w:id="246" w:name="_Toc15817"/>
      <w:bookmarkStart w:id="247" w:name="_Toc58580296"/>
      <w:bookmarkStart w:id="248" w:name="_Toc25018"/>
      <w:r>
        <w:rPr>
          <w:rFonts w:hint="eastAsia" w:ascii="方正小标宋简体" w:hAnsi="方正小标宋简体" w:eastAsia="方正小标宋简体" w:cs="方正小标宋简体"/>
          <w:b w:val="0"/>
          <w:bCs w:val="0"/>
          <w:kern w:val="0"/>
        </w:rPr>
        <w:t>第五节</w:t>
      </w:r>
      <w:r>
        <w:rPr>
          <w:rFonts w:ascii="方正小标宋简体" w:hAnsi="方正小标宋简体" w:eastAsia="方正小标宋简体" w:cs="方正小标宋简体"/>
          <w:b w:val="0"/>
          <w:bCs w:val="0"/>
          <w:kern w:val="0"/>
        </w:rPr>
        <w:t xml:space="preserve">  </w:t>
      </w:r>
      <w:bookmarkStart w:id="249" w:name="_Toc31842"/>
      <w:r>
        <w:rPr>
          <w:rFonts w:hint="eastAsia" w:ascii="方正小标宋简体" w:hAnsi="方正小标宋简体" w:eastAsia="方正小标宋简体" w:cs="方正小标宋简体"/>
          <w:b w:val="0"/>
          <w:bCs w:val="0"/>
          <w:kern w:val="0"/>
        </w:rPr>
        <w:t>推动城乡</w:t>
      </w:r>
      <w:r>
        <w:rPr>
          <w:rFonts w:hint="eastAsia" w:ascii="方正小标宋简体" w:hAnsi="方正小标宋简体" w:eastAsia="方正小标宋简体" w:cs="方正小标宋简体"/>
          <w:b w:val="0"/>
          <w:bCs w:val="0"/>
          <w:kern w:val="0"/>
          <w:lang w:val="en-US" w:eastAsia="zh-CN"/>
        </w:rPr>
        <w:t>融合</w:t>
      </w:r>
      <w:r>
        <w:rPr>
          <w:rFonts w:hint="eastAsia" w:ascii="方正小标宋简体" w:hAnsi="方正小标宋简体" w:eastAsia="方正小标宋简体" w:cs="方正小标宋简体"/>
          <w:b w:val="0"/>
          <w:bCs w:val="0"/>
          <w:kern w:val="0"/>
        </w:rPr>
        <w:t>发展</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41892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缩小城乡发展差距和居民生活水平差距为目标，协调推进新型城镇化战略与乡村振兴战略，建立健全城乡融合发展体制机制和政策体系，切实推进城乡要素自由流动、平等交换和工农资源合理配置，重塑新型城乡关系。</w:t>
      </w:r>
      <w:r>
        <w:rPr>
          <w:rFonts w:hint="eastAsia" w:ascii="楷体_GB2312" w:hAnsi="楷体_GB2312" w:eastAsia="楷体_GB2312" w:cs="楷体_GB2312"/>
          <w:b/>
          <w:bCs/>
          <w:sz w:val="32"/>
          <w:szCs w:val="32"/>
        </w:rPr>
        <w:t>构建城乡统一的建设用地市场</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加快农村土地入市“扩围”，在符合国土空间规划、用途管制和依法取得前提下，允许集体在农民自愿前提下，依法把有偿收回的闲置宅基地、废弃的集体公益性建设用地转变为集体经营性建设用地就地入市或异地调整入市。</w:t>
      </w:r>
      <w:r>
        <w:rPr>
          <w:rFonts w:hint="eastAsia" w:ascii="楷体_GB2312" w:hAnsi="楷体_GB2312" w:eastAsia="楷体_GB2312" w:cs="楷体_GB2312"/>
          <w:b/>
          <w:bCs/>
          <w:sz w:val="32"/>
          <w:szCs w:val="32"/>
        </w:rPr>
        <w:t>维护进城落户农业转移人口“三权”，</w:t>
      </w:r>
      <w:r>
        <w:rPr>
          <w:rFonts w:hint="eastAsia" w:ascii="仿宋_GB2312" w:hAnsi="仿宋_GB2312" w:eastAsia="仿宋_GB2312" w:cs="仿宋_GB2312"/>
          <w:sz w:val="32"/>
          <w:szCs w:val="32"/>
        </w:rPr>
        <w:t>继续加大户籍制度改革力度，积极推动已在城镇就业的农业转移人口落户，维护进城落户农民土地承包权、宅基地使用权、集体权益分配权，解决后顾之忧，支持引导其依法自愿有偿转让上述权益，促进有能力在城镇稳定就业和生活的常住人口有序实现市民化，并与城镇居民享有同等权利。</w:t>
      </w:r>
      <w:r>
        <w:rPr>
          <w:rFonts w:hint="eastAsia" w:ascii="楷体_GB2312" w:hAnsi="楷体_GB2312" w:eastAsia="楷体_GB2312" w:cs="楷体_GB2312"/>
          <w:b/>
          <w:bCs/>
          <w:sz w:val="32"/>
          <w:szCs w:val="32"/>
        </w:rPr>
        <w:t>促进城乡基本公共服务普惠共享</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推进城乡教育、养老、医疗卫生、就业社保均等化，统筹城乡义务教育资源均衡配置，改善城乡医疗服务条件，加强职业技能培训和就业服务，加大城乡就业保障力度，推进城乡居民医疗养老保险参保扩面。</w:t>
      </w:r>
      <w:bookmarkStart w:id="250" w:name="_Toc27166"/>
      <w:r>
        <w:rPr>
          <w:rFonts w:hint="eastAsia" w:ascii="楷体_GB2312" w:hAnsi="楷体_GB2312" w:eastAsia="楷体_GB2312" w:cs="楷体_GB2312"/>
          <w:b/>
          <w:bCs/>
          <w:sz w:val="32"/>
          <w:szCs w:val="32"/>
        </w:rPr>
        <w:t>构建健全有序的农业转移人口市民化制度体系。</w:t>
      </w:r>
      <w:r>
        <w:rPr>
          <w:rFonts w:hint="eastAsia" w:ascii="仿宋_GB2312" w:hAnsi="仿宋_GB2312" w:eastAsia="仿宋_GB2312" w:cs="仿宋_GB2312"/>
          <w:sz w:val="32"/>
          <w:szCs w:val="32"/>
        </w:rPr>
        <w:t>积极推动搬迁人口融入城镇，加快建立易地扶贫搬迁安置管理制度，为搬迁群众办理户籍业务提供便利，推动易地扶贫搬迁人口落户城镇；加大对搬迁人口后续扶持，加强观念更新、文明素质、劳动技能培训力度，促进搬迁人口真正转变为市民；实施“新市民”计划，全面落实未落户搬迁人口的居住证制度，确保未落户人口享有同等的就业、教育、医疗卫生等基本公共服务权力。</w:t>
      </w:r>
    </w:p>
    <w:bookmarkEnd w:id="250"/>
    <w:p w14:paraId="6EB8A132">
      <w:pPr>
        <w:pStyle w:val="3"/>
        <w:pageBreakBefore/>
        <w:spacing w:before="312" w:beforeLines="100" w:after="312" w:afterLines="100" w:line="560" w:lineRule="exact"/>
        <w:jc w:val="center"/>
        <w:rPr>
          <w:rFonts w:ascii="方正小标宋简体" w:hAnsi="方正小标宋简体" w:eastAsia="方正小标宋简体" w:cs="方正小标宋简体"/>
          <w:b w:val="0"/>
          <w:bCs w:val="0"/>
          <w:spacing w:val="-11"/>
          <w:sz w:val="36"/>
          <w:szCs w:val="36"/>
        </w:rPr>
      </w:pPr>
      <w:bookmarkStart w:id="251" w:name="_Toc16455"/>
      <w:bookmarkStart w:id="252" w:name="_Toc61193796"/>
      <w:bookmarkStart w:id="253" w:name="_Toc21708"/>
      <w:bookmarkStart w:id="254" w:name="_Toc32607"/>
      <w:bookmarkStart w:id="255" w:name="_Toc22431"/>
      <w:bookmarkStart w:id="256" w:name="_Toc14789"/>
      <w:bookmarkStart w:id="257" w:name="_Toc28480"/>
      <w:r>
        <w:rPr>
          <w:rFonts w:hint="eastAsia" w:ascii="方正小标宋简体" w:hAnsi="方正小标宋简体" w:eastAsia="方正小标宋简体" w:cs="方正小标宋简体"/>
          <w:b w:val="0"/>
          <w:bCs w:val="0"/>
          <w:spacing w:val="-11"/>
          <w:sz w:val="36"/>
          <w:szCs w:val="36"/>
        </w:rPr>
        <w:t>第五章  加强基础设施建设</w:t>
      </w:r>
      <w:r>
        <w:rPr>
          <w:rFonts w:hint="eastAsia" w:ascii="方正小标宋简体" w:hAnsi="方正小标宋简体" w:eastAsia="方正小标宋简体" w:cs="方正小标宋简体"/>
          <w:b w:val="0"/>
          <w:bCs w:val="0"/>
          <w:spacing w:val="-11"/>
          <w:sz w:val="36"/>
          <w:szCs w:val="36"/>
          <w:lang w:val="en-US" w:eastAsia="zh-CN"/>
        </w:rPr>
        <w:t xml:space="preserve">  高质量</w:t>
      </w:r>
      <w:r>
        <w:rPr>
          <w:rFonts w:hint="eastAsia" w:ascii="方正小标宋简体" w:hAnsi="方正小标宋简体" w:eastAsia="方正小标宋简体" w:cs="方正小标宋简体"/>
          <w:b w:val="0"/>
          <w:bCs w:val="0"/>
          <w:spacing w:val="-11"/>
          <w:sz w:val="36"/>
          <w:szCs w:val="36"/>
        </w:rPr>
        <w:t>提升城市服务能级</w:t>
      </w:r>
      <w:bookmarkEnd w:id="251"/>
      <w:bookmarkEnd w:id="252"/>
      <w:bookmarkEnd w:id="253"/>
      <w:bookmarkEnd w:id="254"/>
      <w:bookmarkEnd w:id="255"/>
      <w:bookmarkEnd w:id="256"/>
      <w:bookmarkEnd w:id="257"/>
    </w:p>
    <w:p w14:paraId="4F4CC437">
      <w:pPr>
        <w:pStyle w:val="23"/>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两新一重”的要求，抢抓全省“六网会战”机遇，以政府为引领，市场为导向，引导各方在“新基建”中共绘“一张图”、共建“一张网”。加快新旧动能转换，构筑未来发展战略性新优势，提升核心竞争力，支撑经济社会高质量发展。</w:t>
      </w:r>
      <w:r>
        <w:rPr>
          <w:rFonts w:ascii="仿宋_GB2312" w:hAnsi="仿宋_GB2312" w:eastAsia="仿宋_GB2312" w:cs="仿宋_GB2312"/>
          <w:color w:val="auto"/>
          <w:sz w:val="32"/>
          <w:szCs w:val="32"/>
        </w:rPr>
        <w:t>构建系统完备、高效实用、智能绿色、安全可靠的现代化基础设施体系</w:t>
      </w:r>
      <w:r>
        <w:rPr>
          <w:rFonts w:hint="eastAsia" w:ascii="仿宋_GB2312" w:hAnsi="仿宋_GB2312" w:eastAsia="仿宋_GB2312" w:cs="仿宋_GB2312"/>
          <w:color w:val="auto"/>
          <w:sz w:val="32"/>
          <w:szCs w:val="32"/>
        </w:rPr>
        <w:t>。</w:t>
      </w:r>
    </w:p>
    <w:p w14:paraId="148B8402">
      <w:pPr>
        <w:pStyle w:val="4"/>
        <w:adjustRightInd w:val="0"/>
        <w:snapToGrid w:val="0"/>
        <w:spacing w:before="312" w:beforeLines="100" w:after="312" w:afterLines="100" w:line="560" w:lineRule="exact"/>
        <w:ind w:firstLine="1050" w:firstLineChars="500"/>
        <w:jc w:val="both"/>
        <w:rPr>
          <w:rFonts w:ascii="方正小标宋简体" w:hAnsi="方正小标宋简体" w:eastAsia="方正小标宋简体" w:cs="方正小标宋简体"/>
          <w:b w:val="0"/>
          <w:bCs w:val="0"/>
          <w:kern w:val="0"/>
        </w:rPr>
      </w:pPr>
      <w:bookmarkStart w:id="258" w:name="_Toc31031"/>
      <w:bookmarkStart w:id="259" w:name="_Toc61193797"/>
      <w:bookmarkStart w:id="260" w:name="_Toc18138"/>
      <w:bookmarkStart w:id="261" w:name="_Toc1366"/>
      <w:bookmarkStart w:id="262" w:name="_Toc9580"/>
      <w:bookmarkStart w:id="263" w:name="_Toc24881"/>
      <w:bookmarkStart w:id="264" w:name="_Toc2641"/>
      <w:bookmarkStart w:id="265" w:name="_Toc25111"/>
      <w:bookmarkStart w:id="266" w:name="_Toc5519"/>
      <w:bookmarkStart w:id="267" w:name="_Toc58580330"/>
      <w:r>
        <w:rPr>
          <w:rFonts w:hint="eastAsia" w:ascii="方正小标宋简体" w:hAnsi="方正小标宋简体" w:eastAsia="方正小标宋简体" w:cs="方正小标宋简体"/>
          <w:b w:val="0"/>
          <w:bCs w:val="0"/>
          <w:kern w:val="0"/>
        </w:rPr>
        <w:t>第一节  加快新型基础设施建设</w:t>
      </w:r>
      <w:bookmarkEnd w:id="258"/>
      <w:bookmarkEnd w:id="259"/>
      <w:bookmarkEnd w:id="260"/>
      <w:bookmarkEnd w:id="261"/>
      <w:bookmarkEnd w:id="262"/>
      <w:bookmarkEnd w:id="263"/>
      <w:bookmarkEnd w:id="264"/>
    </w:p>
    <w:p w14:paraId="35C47A46">
      <w:pPr>
        <w:tabs>
          <w:tab w:val="left" w:pos="1440"/>
        </w:tabs>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高站位高强度高质量推进息烽“新基建”，系统布局新型基础设施，</w:t>
      </w:r>
      <w:r>
        <w:rPr>
          <w:rFonts w:ascii="仿宋_GB2312" w:hAnsi="仿宋_GB2312" w:eastAsia="仿宋_GB2312" w:cs="仿宋_GB2312"/>
          <w:sz w:val="32"/>
          <w:szCs w:val="32"/>
        </w:rPr>
        <w:t>加快第五代移动通信、工业互联网等建设</w:t>
      </w:r>
      <w:r>
        <w:rPr>
          <w:rFonts w:hint="eastAsia" w:ascii="仿宋_GB2312" w:hAnsi="仿宋_GB2312" w:eastAsia="仿宋_GB2312" w:cs="仿宋_GB2312"/>
          <w:sz w:val="32"/>
          <w:szCs w:val="32"/>
        </w:rPr>
        <w:t>，推动县域智慧化改造，有效汇聚政用、民用、商用数据。</w:t>
      </w:r>
    </w:p>
    <w:p w14:paraId="0352C330">
      <w:pPr>
        <w:tabs>
          <w:tab w:val="left" w:pos="1440"/>
        </w:tabs>
        <w:adjustRightInd w:val="0"/>
        <w:snapToGrid w:val="0"/>
        <w:spacing w:line="52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全力推进新型基础设施建设，</w:t>
      </w:r>
      <w:r>
        <w:rPr>
          <w:rFonts w:hint="eastAsia" w:ascii="仿宋_GB2312" w:hAnsi="仿宋_GB2312" w:eastAsia="仿宋_GB2312" w:cs="仿宋_GB2312"/>
          <w:sz w:val="32"/>
          <w:szCs w:val="32"/>
        </w:rPr>
        <w:t>推动5G、大数据、云计算、人工智能、工业互联网等新时代智能技术与实体经济融合应用，着力培育打造一批高精数字重点企业和关键产业。推进5G建设与融合应用，加速布局5G新型互联网基础设施网络，按照“先城区，后乡镇，产业优先”的覆盖原则，逐步实现整个县域5G网络100%覆盖，完成</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个5G基站及配套设施建设。推动5G+应用场景建设。以5G智慧教育、5G智慧停车、5G智慧灯杆等应用场景为切入点，探索县域数字经济发展新模式，形成一批5G应用场景提升政府治理能力、公共服务水平、数字经济发展水平的典型案例。抓好国家数字乡村（南山驿站田园综合体）试点项目建设。加快部署新能源充电桩，</w:t>
      </w:r>
      <w:r>
        <w:rPr>
          <w:rFonts w:hint="eastAsia" w:ascii="仿宋_GB2312" w:hAnsi="仿宋_GB2312" w:eastAsia="仿宋_GB2312" w:cs="仿宋_GB2312"/>
          <w:kern w:val="0"/>
          <w:sz w:val="32"/>
          <w:szCs w:val="32"/>
        </w:rPr>
        <w:t>至2</w:t>
      </w:r>
      <w:r>
        <w:rPr>
          <w:rFonts w:ascii="仿宋_GB2312" w:hAnsi="仿宋_GB2312" w:eastAsia="仿宋_GB2312" w:cs="仿宋_GB2312"/>
          <w:kern w:val="0"/>
          <w:sz w:val="32"/>
          <w:szCs w:val="32"/>
        </w:rPr>
        <w:t>025</w:t>
      </w:r>
      <w:r>
        <w:rPr>
          <w:rFonts w:hint="eastAsia" w:ascii="仿宋_GB2312" w:hAnsi="仿宋_GB2312" w:eastAsia="仿宋_GB2312" w:cs="仿宋_GB2312"/>
          <w:kern w:val="0"/>
          <w:sz w:val="32"/>
          <w:szCs w:val="32"/>
        </w:rPr>
        <w:t>年，建成新能源汽车</w:t>
      </w:r>
      <w:r>
        <w:rPr>
          <w:rFonts w:ascii="仿宋_GB2312" w:hAnsi="仿宋_GB2312" w:eastAsia="仿宋_GB2312" w:cs="仿宋_GB2312"/>
          <w:kern w:val="0"/>
          <w:sz w:val="32"/>
          <w:szCs w:val="32"/>
        </w:rPr>
        <w:t>快速充电桩50台</w:t>
      </w:r>
      <w:r>
        <w:rPr>
          <w:rFonts w:hint="eastAsia" w:ascii="仿宋_GB2312" w:hAnsi="仿宋_GB2312" w:eastAsia="仿宋_GB2312" w:cs="仿宋_GB2312"/>
          <w:kern w:val="0"/>
          <w:sz w:val="32"/>
          <w:szCs w:val="32"/>
        </w:rPr>
        <w:t>，建成充电汽车</w:t>
      </w:r>
      <w:r>
        <w:rPr>
          <w:rFonts w:ascii="仿宋_GB2312" w:hAnsi="仿宋_GB2312" w:eastAsia="仿宋_GB2312" w:cs="仿宋_GB2312"/>
          <w:kern w:val="0"/>
          <w:sz w:val="32"/>
          <w:szCs w:val="32"/>
        </w:rPr>
        <w:t>直流充电桩</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交流充电桩</w:t>
      </w:r>
      <w:r>
        <w:rPr>
          <w:rFonts w:hint="eastAsia" w:ascii="仿宋_GB2312" w:hAnsi="仿宋_GB2312" w:eastAsia="仿宋_GB2312" w:cs="仿宋_GB2312"/>
          <w:kern w:val="0"/>
          <w:sz w:val="32"/>
          <w:szCs w:val="32"/>
        </w:rPr>
        <w:t>各</w:t>
      </w:r>
      <w:r>
        <w:rPr>
          <w:rFonts w:ascii="仿宋_GB2312" w:hAnsi="仿宋_GB2312" w:eastAsia="仿宋_GB2312" w:cs="仿宋_GB2312"/>
          <w:kern w:val="0"/>
          <w:sz w:val="32"/>
          <w:szCs w:val="32"/>
        </w:rPr>
        <w:t>500个</w:t>
      </w:r>
      <w:r>
        <w:rPr>
          <w:rFonts w:hint="eastAsia" w:ascii="仿宋_GB2312" w:hAnsi="仿宋_GB2312" w:eastAsia="仿宋_GB2312" w:cs="仿宋_GB2312"/>
          <w:kern w:val="0"/>
          <w:sz w:val="32"/>
          <w:szCs w:val="32"/>
        </w:rPr>
        <w:t>。</w:t>
      </w:r>
    </w:p>
    <w:p w14:paraId="2601B997">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推动县域智慧城市改造。</w:t>
      </w:r>
      <w:r>
        <w:rPr>
          <w:rFonts w:hint="eastAsia" w:ascii="仿宋_GB2312" w:hAnsi="仿宋_GB2312" w:eastAsia="仿宋_GB2312" w:cs="仿宋_GB2312"/>
          <w:bCs/>
          <w:sz w:val="32"/>
          <w:szCs w:val="32"/>
        </w:rPr>
        <w:t>构建县域智慧产业体系、提升县域治理体系和治理能力、改善民生服务、壮大数字经济。</w:t>
      </w:r>
      <w:r>
        <w:rPr>
          <w:rFonts w:hint="eastAsia" w:ascii="仿宋_GB2312" w:hAnsi="仿宋_GB2312" w:eastAsia="仿宋_GB2312" w:cs="仿宋_GB2312"/>
          <w:sz w:val="32"/>
          <w:szCs w:val="32"/>
        </w:rPr>
        <w:t>抓住“新基建”契机，以“数字化展示息烽、数字化管理息烽”为努力方向，“5G+应用场景”试点项目建设为支撑，大数据应用展示中心项目建设为落脚点，盘活闲置的、可利用公共资源，开发5G商用应用场景产生经济效益，搭建县域智慧城市操作软件体系，集成县域软件应用和信息资源，数字化管理和展示全县自然资源、环境治理、经济发展、城市治理、民生服务等情况，使政务数据、民用数据、商用数据得到有效汇聚和积累。到2025年，县域大数据展示中心建成并投入运营，县域智慧城市雏形基本呈现，</w:t>
      </w:r>
      <w:r>
        <w:rPr>
          <w:rFonts w:hint="eastAsia" w:ascii="仿宋_GB2312" w:hAnsi="仿宋_GB2312" w:eastAsia="仿宋_GB2312" w:cs="仿宋_GB2312"/>
          <w:kern w:val="0"/>
          <w:sz w:val="32"/>
          <w:szCs w:val="32"/>
        </w:rPr>
        <w:t>完成城区内虎城大道智慧停车场建设项目。</w:t>
      </w:r>
      <w:r>
        <w:rPr>
          <w:rFonts w:hint="eastAsia" w:ascii="仿宋_GB2312" w:hAnsi="仿宋_GB2312" w:eastAsia="仿宋_GB2312" w:cs="仿宋_GB2312"/>
          <w:sz w:val="32"/>
          <w:szCs w:val="32"/>
        </w:rPr>
        <w:t>信息便民服务更加便捷均等，政府治理能力明显提升。</w:t>
      </w:r>
    </w:p>
    <w:p w14:paraId="273DD7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力做优息烽经开区数字经济优势平台，加强数字生态共同体建设，促进以优势产业为主体的产业集群向数字化升级，并沿产业链上下游拓展延伸。探索智能制造、智慧农业、智慧旅游等新兴业态培育，推动大数据战略行动深入实施。到2025年，软件和信息技术服务业达1.5亿元、治理能力有提升、民生服务有改善，逐步形成“惠民、助企、善政”的良好生态。</w:t>
      </w:r>
    </w:p>
    <w:bookmarkEnd w:id="265"/>
    <w:bookmarkEnd w:id="266"/>
    <w:bookmarkEnd w:id="267"/>
    <w:p w14:paraId="21E68750">
      <w:pPr>
        <w:pStyle w:val="4"/>
        <w:spacing w:before="312" w:beforeLines="100" w:after="312" w:afterLines="100" w:line="560" w:lineRule="exact"/>
        <w:jc w:val="center"/>
        <w:rPr>
          <w:rFonts w:hint="default" w:ascii="方正小标宋简体" w:hAnsi="方正小标宋简体" w:eastAsia="方正小标宋简体" w:cs="方正小标宋简体"/>
          <w:b w:val="0"/>
          <w:bCs w:val="0"/>
          <w:kern w:val="0"/>
          <w:lang w:val="en-US" w:eastAsia="zh-CN"/>
        </w:rPr>
      </w:pPr>
      <w:bookmarkStart w:id="268" w:name="_Toc8129"/>
      <w:bookmarkStart w:id="269" w:name="_Toc58580331"/>
      <w:bookmarkStart w:id="270" w:name="_Toc31569"/>
      <w:bookmarkStart w:id="271" w:name="_Toc61193798"/>
      <w:bookmarkStart w:id="272" w:name="_Toc4395"/>
      <w:bookmarkStart w:id="273" w:name="_Toc7531"/>
      <w:bookmarkStart w:id="274" w:name="_Toc18474"/>
      <w:bookmarkStart w:id="275" w:name="_Toc3911"/>
      <w:bookmarkStart w:id="276" w:name="_Toc20796"/>
      <w:bookmarkStart w:id="277" w:name="_Toc5675"/>
      <w:r>
        <w:rPr>
          <w:rFonts w:hint="eastAsia" w:ascii="方正小标宋简体" w:hAnsi="方正小标宋简体" w:eastAsia="方正小标宋简体" w:cs="方正小标宋简体"/>
          <w:b w:val="0"/>
          <w:bCs w:val="0"/>
          <w:kern w:val="0"/>
        </w:rPr>
        <w:t>第二节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构筑现代交通体系</w:t>
      </w:r>
      <w:bookmarkEnd w:id="268"/>
      <w:bookmarkEnd w:id="269"/>
      <w:bookmarkEnd w:id="270"/>
      <w:bookmarkEnd w:id="271"/>
      <w:bookmarkEnd w:id="272"/>
      <w:bookmarkEnd w:id="273"/>
      <w:bookmarkEnd w:id="274"/>
      <w:bookmarkEnd w:id="275"/>
      <w:bookmarkEnd w:id="276"/>
      <w:bookmarkEnd w:id="277"/>
    </w:p>
    <w:p w14:paraId="6565DBFA">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完善综合运输大通道、综合交通枢纽和物流网络，提高农村和</w:t>
      </w:r>
      <w:r>
        <w:rPr>
          <w:rFonts w:hint="eastAsia" w:ascii="仿宋_GB2312" w:hAnsi="仿宋_GB2312" w:eastAsia="仿宋_GB2312" w:cs="仿宋_GB2312"/>
          <w:sz w:val="32"/>
          <w:szCs w:val="32"/>
        </w:rPr>
        <w:t>县城</w:t>
      </w:r>
      <w:r>
        <w:rPr>
          <w:rFonts w:ascii="仿宋_GB2312" w:hAnsi="仿宋_GB2312" w:eastAsia="仿宋_GB2312" w:cs="仿宋_GB2312"/>
          <w:sz w:val="32"/>
          <w:szCs w:val="32"/>
        </w:rPr>
        <w:t>交通通达深度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扎实推进“四好农村路”建设，实现“建、管、养、运”协调发展，创建国家“四好农村路”示范县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按照</w:t>
      </w:r>
      <w:r>
        <w:rPr>
          <w:rFonts w:hint="eastAsia" w:ascii="仿宋_GB2312" w:hAnsi="仿宋_GB2312" w:eastAsia="仿宋_GB2312" w:cs="仿宋_GB2312"/>
          <w:kern w:val="0"/>
          <w:sz w:val="32"/>
          <w:szCs w:val="32"/>
        </w:rPr>
        <w:t>规模适当、结构合理、能力充分、衔接顺畅目标，实施</w:t>
      </w:r>
      <w:r>
        <w:rPr>
          <w:rFonts w:hint="eastAsia" w:ascii="仿宋_GB2312" w:hAnsi="仿宋_GB2312" w:eastAsia="仿宋_GB2312" w:cs="仿宋_GB2312"/>
          <w:sz w:val="32"/>
          <w:szCs w:val="32"/>
        </w:rPr>
        <w:t>区域一体、干线引导、公交优先、需求管理发展战略，规划建设多元、立体、智慧的现代交通网络。以公路交通为主干、铁路交通为骨架、水上交通为补充、公共交通为重点，拟投资112.86亿元，实施公路、桥梁、站场、水运港口新建扩建及交通安全防护养护项目，构建通畅、快捷、高效、智能的现代交通运输体系。</w:t>
      </w:r>
    </w:p>
    <w:p w14:paraId="0F69EDA0">
      <w:pPr>
        <w:keepNext/>
        <w:keepLines/>
        <w:spacing w:line="560" w:lineRule="exact"/>
        <w:ind w:firstLine="643" w:firstLineChars="200"/>
        <w:outlineLvl w:val="2"/>
        <w:rPr>
          <w:rFonts w:ascii="楷体_GB2312" w:hAnsi="楷体_GB2312" w:eastAsia="楷体_GB2312" w:cs="楷体_GB2312"/>
          <w:b/>
          <w:bCs/>
          <w:sz w:val="32"/>
          <w:szCs w:val="32"/>
        </w:rPr>
      </w:pPr>
      <w:r>
        <w:rPr>
          <w:rFonts w:hint="eastAsia" w:ascii="黑体" w:hAnsi="黑体" w:eastAsia="黑体"/>
          <w:b/>
          <w:bCs/>
          <w:sz w:val="32"/>
          <w:szCs w:val="32"/>
        </w:rPr>
        <w:t>一、公路交通</w:t>
      </w:r>
    </w:p>
    <w:p w14:paraId="145E4F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围绕“一国道四省道”（兰海高速、江都高速、贵金古高速；</w:t>
      </w:r>
      <w:r>
        <w:rPr>
          <w:rFonts w:hint="eastAsia" w:ascii="Times New Roman" w:hAnsi="Times New Roman" w:eastAsia="仿宋_GB2312" w:cs="Times New Roman"/>
          <w:sz w:val="32"/>
          <w:szCs w:val="32"/>
        </w:rPr>
        <w:t>同城大道</w:t>
      </w:r>
      <w:r>
        <w:rPr>
          <w:rFonts w:hint="eastAsia" w:ascii="仿宋_GB2312" w:hAnsi="仿宋_GB2312" w:eastAsia="仿宋_GB2312" w:cs="仿宋_GB2312"/>
          <w:sz w:val="32"/>
          <w:szCs w:val="32"/>
        </w:rPr>
        <w:t>；S520、S308、S208、S207四条省道）和青流城市大道大骨架，顺畅连接县道、乡道和村道主干公路</w:t>
      </w:r>
      <w:r>
        <w:rPr>
          <w:rFonts w:hint="eastAsia" w:ascii="仿宋_GB2312" w:hAnsi="仿宋_GB2312" w:eastAsia="仿宋_GB2312" w:cs="仿宋_GB2312"/>
          <w:kern w:val="0"/>
          <w:sz w:val="32"/>
          <w:szCs w:val="32"/>
        </w:rPr>
        <w:t>，形成覆盖城乡的公路交通网络，</w:t>
      </w:r>
      <w:r>
        <w:rPr>
          <w:rFonts w:hint="eastAsia" w:ascii="仿宋_GB2312" w:hAnsi="仿宋_GB2312" w:eastAsia="仿宋_GB2312" w:cs="仿宋_GB2312"/>
          <w:sz w:val="32"/>
          <w:szCs w:val="32"/>
        </w:rPr>
        <w:t>实现1小时进市、2小时出省、3小时通达西南重点城市，县域范围15分钟乡镇中心上高速、30分钟城乡行政中心可达、40分钟各乡镇中心互通的目标。</w:t>
      </w:r>
    </w:p>
    <w:p w14:paraId="4415C7C8">
      <w:pPr>
        <w:pStyle w:val="2"/>
        <w:ind w:firstLine="640"/>
        <w:rPr>
          <w:rFonts w:hint="eastAsia" w:ascii="仿宋_GB2312" w:hAnsi="仿宋_GB2312" w:eastAsia="仿宋_GB2312" w:cs="仿宋_GB2312"/>
          <w:kern w:val="0"/>
          <w:sz w:val="32"/>
          <w:szCs w:val="32"/>
        </w:rPr>
      </w:pPr>
      <w:r>
        <w:rPr>
          <w:rFonts w:hint="eastAsia" w:ascii="楷体_GB2312" w:hAnsi="楷体_GB2312" w:eastAsia="楷体_GB2312" w:cs="楷体_GB2312"/>
          <w:b/>
          <w:bCs/>
          <w:sz w:val="32"/>
          <w:szCs w:val="32"/>
        </w:rPr>
        <w:t>依托贵金古高速公路“双石互通”连接线，</w:t>
      </w:r>
      <w:r>
        <w:rPr>
          <w:rFonts w:hint="eastAsia" w:ascii="仿宋_GB2312" w:hAnsi="仿宋_GB2312" w:eastAsia="仿宋_GB2312" w:cs="仿宋_GB2312"/>
          <w:sz w:val="32"/>
          <w:szCs w:val="32"/>
        </w:rPr>
        <w:t>修建石硐经青山至南山驿站景区的二级公路，连接兰海高速，促进石硐农业示范园区、青山苗族文化特色小镇、美丽南山田园综合体联动发展。完成G210（贵遵同城大道）息烽境建设，实现与贵阳、遵义同城化发展。启动青流大道建设，实现息烽与毕节地区互联互通，打通西望山、乌江峡景区通道。</w:t>
      </w:r>
      <w:r>
        <w:rPr>
          <w:rFonts w:hint="eastAsia" w:ascii="楷体_GB2312" w:hAnsi="楷体_GB2312" w:eastAsia="楷体_GB2312" w:cs="楷体_GB2312"/>
          <w:b/>
          <w:bCs/>
          <w:kern w:val="0"/>
          <w:sz w:val="32"/>
          <w:szCs w:val="32"/>
        </w:rPr>
        <w:t>巩固</w:t>
      </w:r>
      <w:r>
        <w:rPr>
          <w:rFonts w:hint="eastAsia" w:ascii="楷体_GB2312" w:hAnsi="楷体_GB2312" w:eastAsia="楷体_GB2312" w:cs="楷体_GB2312"/>
          <w:b/>
          <w:bCs/>
          <w:color w:val="auto"/>
          <w:sz w:val="32"/>
          <w:szCs w:val="32"/>
          <w:lang w:val="en-US" w:eastAsia="zh-CN"/>
        </w:rPr>
        <w:t>“四好农村路”</w:t>
      </w:r>
      <w:r>
        <w:rPr>
          <w:rFonts w:hint="eastAsia" w:ascii="楷体_GB2312" w:hAnsi="楷体_GB2312" w:eastAsia="楷体_GB2312" w:cs="楷体_GB2312"/>
          <w:b/>
          <w:bCs/>
          <w:kern w:val="0"/>
          <w:sz w:val="32"/>
          <w:szCs w:val="32"/>
        </w:rPr>
        <w:t>建设成果，</w:t>
      </w:r>
      <w:r>
        <w:rPr>
          <w:rFonts w:hint="eastAsia" w:ascii="仿宋_GB2312" w:hAnsi="仿宋_GB2312" w:eastAsia="仿宋_GB2312" w:cs="仿宋_GB2312"/>
          <w:sz w:val="32"/>
          <w:szCs w:val="32"/>
        </w:rPr>
        <w:t>新建、改造农村公路494公里，新建桥梁4座、改造危桥62座。争取全国</w:t>
      </w:r>
      <w:r>
        <w:rPr>
          <w:rFonts w:hint="eastAsia" w:ascii="仿宋_GB2312" w:hAnsi="仿宋_GB2312" w:eastAsia="仿宋_GB2312" w:cs="仿宋_GB2312"/>
          <w:kern w:val="0"/>
          <w:sz w:val="32"/>
          <w:szCs w:val="32"/>
        </w:rPr>
        <w:t>“四好农村路”示范县，</w:t>
      </w:r>
      <w:r>
        <w:rPr>
          <w:rFonts w:hint="eastAsia" w:ascii="仿宋_GB2312" w:hAnsi="仿宋_GB2312" w:eastAsia="仿宋_GB2312" w:cs="仿宋_GB2312"/>
          <w:sz w:val="32"/>
          <w:szCs w:val="32"/>
        </w:rPr>
        <w:t>养护通组以上公路里程</w:t>
      </w:r>
      <w:r>
        <w:rPr>
          <w:rFonts w:ascii="仿宋_GB2312" w:hAnsi="仿宋_GB2312" w:eastAsia="仿宋_GB2312" w:cs="仿宋_GB2312"/>
          <w:sz w:val="32"/>
          <w:szCs w:val="32"/>
        </w:rPr>
        <w:t>4070</w:t>
      </w:r>
      <w:r>
        <w:rPr>
          <w:rFonts w:hint="eastAsia" w:ascii="仿宋_GB2312" w:hAnsi="仿宋_GB2312" w:eastAsia="仿宋_GB2312" w:cs="仿宋_GB2312"/>
          <w:sz w:val="32"/>
          <w:szCs w:val="32"/>
        </w:rPr>
        <w:t>公里</w:t>
      </w:r>
      <w:r>
        <w:rPr>
          <w:rFonts w:hint="eastAsia" w:ascii="仿宋_GB2312" w:hAnsi="仿宋_GB2312" w:eastAsia="仿宋_GB2312" w:cs="仿宋_GB2312"/>
          <w:kern w:val="0"/>
          <w:sz w:val="32"/>
          <w:szCs w:val="32"/>
        </w:rPr>
        <w:t>。</w:t>
      </w:r>
      <w:r>
        <w:rPr>
          <w:rFonts w:hint="eastAsia" w:ascii="楷体_GB2312" w:hAnsi="楷体_GB2312" w:eastAsia="楷体_GB2312" w:cs="楷体_GB2312"/>
          <w:b/>
          <w:bCs/>
          <w:sz w:val="32"/>
          <w:szCs w:val="32"/>
        </w:rPr>
        <w:t>完善交通站场设施，</w:t>
      </w:r>
      <w:r>
        <w:rPr>
          <w:rFonts w:hint="eastAsia" w:ascii="仿宋_GB2312" w:hAnsi="仿宋_GB2312" w:eastAsia="仿宋_GB2312" w:cs="仿宋_GB2312"/>
          <w:sz w:val="32"/>
          <w:szCs w:val="32"/>
        </w:rPr>
        <w:t>新建县城客运站，建设团圆山环线二级客运站和18个村生态停车场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建设团圆山环线物流中心，在10个乡镇交通运输管理站建设物流信息服务站点平台，形成与全国联网的物流信息服务平台和货运市场。</w:t>
      </w:r>
      <w:r>
        <w:rPr>
          <w:rFonts w:hint="eastAsia" w:ascii="仿宋_GB2312" w:hAnsi="仿宋_GB2312" w:eastAsia="仿宋_GB2312" w:cs="仿宋_GB2312"/>
          <w:b w:val="0"/>
          <w:bCs w:val="0"/>
          <w:kern w:val="0"/>
          <w:sz w:val="32"/>
          <w:szCs w:val="32"/>
        </w:rPr>
        <w:t>深化交通运输与旅游融合发展，</w:t>
      </w:r>
      <w:r>
        <w:rPr>
          <w:rFonts w:hint="eastAsia" w:ascii="仿宋_GB2312" w:hAnsi="仿宋_GB2312" w:eastAsia="仿宋_GB2312" w:cs="仿宋_GB2312"/>
          <w:kern w:val="0"/>
          <w:sz w:val="32"/>
          <w:szCs w:val="32"/>
        </w:rPr>
        <w:t>推动旅游专列、旅游风景道、旅游航道、自驾车房车营地、游艇旅游、低空飞行旅游等发展，完善客运枢纽、高速公路服务区等交通设施旅游服务功能。</w:t>
      </w:r>
    </w:p>
    <w:p w14:paraId="2E675E87">
      <w:pPr>
        <w:pStyle w:val="2"/>
        <w:ind w:firstLine="640"/>
        <w:rPr>
          <w:rFonts w:ascii="黑体" w:hAnsi="黑体" w:eastAsia="黑体"/>
          <w:b/>
          <w:bCs/>
          <w:sz w:val="32"/>
          <w:szCs w:val="32"/>
        </w:rPr>
      </w:pPr>
      <w:r>
        <w:rPr>
          <w:rFonts w:hint="eastAsia" w:ascii="黑体" w:hAnsi="黑体" w:eastAsia="黑体"/>
          <w:b/>
          <w:bCs/>
          <w:sz w:val="32"/>
          <w:szCs w:val="32"/>
        </w:rPr>
        <w:t>二、铁路交通及航空</w:t>
      </w:r>
    </w:p>
    <w:p w14:paraId="637D98E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完善息烽火车站配套设施、人流落地疏散和运送体系。争取开通专线客车、旅游专列，方便群众出行，吸引外地游客来息旅游度假、休闲养生。连线铁路与公路、水路交通，发展铁路货运、铁路物流。</w:t>
      </w:r>
      <w:r>
        <w:rPr>
          <w:rFonts w:hint="eastAsia" w:ascii="仿宋_GB2312" w:hAnsi="仿宋_GB2312" w:eastAsia="仿宋_GB2312" w:cs="仿宋_GB2312"/>
          <w:kern w:val="0"/>
          <w:sz w:val="32"/>
          <w:szCs w:val="32"/>
        </w:rPr>
        <w:t>提升铁路全方位建设，全力争取重庆——贵阳——北部湾双层集装箱运输通道在息烽过境设站。</w:t>
      </w:r>
      <w:r>
        <w:rPr>
          <w:rFonts w:hint="eastAsia" w:ascii="仿宋_GB2312" w:hAnsi="仿宋_GB2312" w:eastAsia="仿宋_GB2312" w:cs="仿宋_GB2312"/>
          <w:sz w:val="32"/>
          <w:szCs w:val="32"/>
        </w:rPr>
        <w:t>谋划息烽A2级通用机场建设。</w:t>
      </w:r>
    </w:p>
    <w:p w14:paraId="01EE3B0F">
      <w:pPr>
        <w:keepNext/>
        <w:keepLines/>
        <w:spacing w:line="560" w:lineRule="exact"/>
        <w:ind w:firstLine="643" w:firstLineChars="200"/>
        <w:outlineLvl w:val="2"/>
        <w:rPr>
          <w:rFonts w:ascii="楷体_GB2312" w:hAnsi="楷体_GB2312" w:eastAsia="楷体_GB2312" w:cs="楷体_GB2312"/>
          <w:b/>
          <w:bCs/>
          <w:sz w:val="32"/>
          <w:szCs w:val="32"/>
        </w:rPr>
      </w:pPr>
      <w:r>
        <w:rPr>
          <w:rFonts w:hint="eastAsia" w:ascii="黑体" w:hAnsi="黑体" w:eastAsia="黑体"/>
          <w:b/>
          <w:bCs/>
          <w:sz w:val="32"/>
          <w:szCs w:val="32"/>
        </w:rPr>
        <w:t>三、水运交通</w:t>
      </w:r>
    </w:p>
    <w:p w14:paraId="4B144D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未来</w:t>
      </w:r>
      <w:r>
        <w:rPr>
          <w:rFonts w:ascii="仿宋_GB2312" w:hAnsi="仿宋_GB2312" w:eastAsia="仿宋_GB2312" w:cs="仿宋_GB2312"/>
          <w:sz w:val="32"/>
          <w:szCs w:val="32"/>
        </w:rPr>
        <w:t>5年，息烽港可按照年吞吐量500万吨规模建设；中远期即10年左右，根据乌江下游闸坝通过能力的提升，可把港口建设成为年吞吐量1000万吨以上的综合性港口。推广使用LNG燃料、岸电和电瓶等新能源，加强水环境保护，减少港口码头及船舶污染。培育1至2家水运物流企业，水运能力达100万吨以上；新建或改扩建港口码头2至3座；建成构皮滩海事监管救助基地；完善港区进出港公路、客货运站（场）、安全保障等配套设施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提升库区航道能</w:t>
      </w:r>
      <w:r>
        <w:rPr>
          <w:rFonts w:hint="eastAsia" w:ascii="仿宋_GB2312" w:hAnsi="仿宋_GB2312" w:eastAsia="仿宋_GB2312" w:cs="仿宋_GB2312"/>
          <w:sz w:val="32"/>
          <w:szCs w:val="32"/>
        </w:rPr>
        <w:t>力，拓展延伸水运服务范围，改善区域交通和群众出行条件。落实磷石膏“以渣定产”要求，</w:t>
      </w:r>
      <w:r>
        <w:rPr>
          <w:rFonts w:ascii="仿宋_GB2312" w:hAnsi="仿宋_GB2312" w:eastAsia="仿宋_GB2312" w:cs="仿宋_GB2312"/>
          <w:sz w:val="32"/>
          <w:szCs w:val="32"/>
        </w:rPr>
        <w:t>到2025年，</w:t>
      </w:r>
      <w:r>
        <w:rPr>
          <w:rFonts w:hint="eastAsia" w:ascii="仿宋_GB2312" w:hAnsi="仿宋_GB2312" w:eastAsia="仿宋_GB2312" w:cs="仿宋_GB2312"/>
          <w:sz w:val="32"/>
          <w:szCs w:val="32"/>
        </w:rPr>
        <w:t>加快推进乌江航道提等扩能工程，将乌江渡库区和构皮滩库区四级航道提升为三级航道，把水运运能大、成本低等比较优势发挥到极致，加快补齐水运发展短板，全力推进水运高质量发展。</w:t>
      </w:r>
    </w:p>
    <w:p w14:paraId="68A2B48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推进重点港口和工业园区的连接，着力提升大宗散货铁路水路集疏运和集装箱铁水联运比例，有效降低物流成本。推进乌江渡库区内运输船舶标准统一，构皮滩库区大力发展集装箱船、</w:t>
      </w:r>
      <w:r>
        <w:rPr>
          <w:rFonts w:ascii="仿宋_GB2312" w:hAnsi="仿宋_GB2312" w:eastAsia="仿宋_GB2312" w:cs="仿宋_GB2312"/>
          <w:sz w:val="32"/>
          <w:szCs w:val="32"/>
        </w:rPr>
        <w:t>LNG、商品汽车滚装、化学品运输等专业化船舶。加快休闲度假豪华游轮和中短途休闲游、观光游特色游轮船型的发展。</w:t>
      </w:r>
    </w:p>
    <w:p w14:paraId="648D40C1">
      <w:pPr>
        <w:pStyle w:val="2"/>
        <w:rPr>
          <w:rFonts w:hint="default" w:eastAsia="仿宋_GB2312"/>
          <w:color w:val="FF0000"/>
          <w:lang w:val="en-US" w:eastAsia="zh-CN"/>
        </w:rPr>
      </w:pPr>
      <w:r>
        <w:rPr>
          <w:rFonts w:hint="eastAsia" w:ascii="仿宋_GB2312" w:hAnsi="仿宋_GB2312" w:eastAsia="仿宋_GB2312" w:cs="仿宋_GB2312"/>
          <w:sz w:val="32"/>
          <w:szCs w:val="32"/>
          <w:lang w:val="en-US" w:eastAsia="zh-CN"/>
        </w:rPr>
        <w:t xml:space="preserve">    </w:t>
      </w:r>
    </w:p>
    <w:p w14:paraId="11975509">
      <w:pPr>
        <w:keepNext/>
        <w:keepLines/>
        <w:spacing w:line="560" w:lineRule="exact"/>
        <w:ind w:firstLine="643" w:firstLineChars="200"/>
        <w:outlineLvl w:val="2"/>
        <w:rPr>
          <w:rFonts w:ascii="楷体_GB2312" w:hAnsi="楷体_GB2312" w:eastAsia="楷体_GB2312" w:cs="楷体_GB2312"/>
          <w:b/>
          <w:bCs/>
          <w:sz w:val="32"/>
          <w:szCs w:val="32"/>
        </w:rPr>
      </w:pPr>
      <w:r>
        <w:rPr>
          <w:rFonts w:hint="eastAsia" w:ascii="黑体" w:hAnsi="黑体" w:eastAsia="黑体"/>
          <w:b/>
          <w:bCs/>
          <w:sz w:val="32"/>
          <w:szCs w:val="32"/>
        </w:rPr>
        <w:t>四、公共交通</w:t>
      </w:r>
    </w:p>
    <w:p w14:paraId="3B24F9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一体化、系统化、智能化公交系统，形成干线+支线+专线一体化公共交通网络，实现慢行+公交出行比重80%以上，干线公交覆盖人口50%以上，公交准点率90%以上。调优干线公交网络，新增4条公交线路，公交车辆发展到50标台左右，城市出租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巡游出租车及网约出租车）</w:t>
      </w:r>
      <w:r>
        <w:rPr>
          <w:rFonts w:hint="eastAsia" w:ascii="仿宋_GB2312" w:hAnsi="仿宋_GB2312" w:eastAsia="仿宋_GB2312" w:cs="仿宋_GB2312"/>
          <w:sz w:val="32"/>
          <w:szCs w:val="32"/>
        </w:rPr>
        <w:t>发展到500辆左右，形成城区连接至高铁站、高速公路收费站、南山驿站、小寨坝、底寨、团圆山环线城市公交网络，并通过快速公交BRT，连通修文和贵阳。全面推进公共交通IC卡使用，为市民提供优质智能化公共交通服务体系。以息烽火车站、客运站为枢纽，开通重点景区旅游专线，按时刻表、实际客流量配置旅游车辆。扩大交通连通区域，开通息烽至黔西、金沙、花溪、乌当客运班线和通村村小座快巴、农村客运班线。建设生态停车场18个1.5万个停车位。</w:t>
      </w:r>
    </w:p>
    <w:p w14:paraId="4F26B455">
      <w:pPr>
        <w:pStyle w:val="10"/>
      </w:pPr>
    </w:p>
    <w:p w14:paraId="3EB17CC4">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278" w:name="_Toc7179"/>
      <w:bookmarkStart w:id="279" w:name="_Toc4361"/>
      <w:bookmarkStart w:id="280" w:name="_Toc3255"/>
      <w:bookmarkStart w:id="281" w:name="_Toc61193799"/>
      <w:bookmarkStart w:id="282" w:name="_Toc30584"/>
      <w:bookmarkStart w:id="283" w:name="_Toc16431"/>
      <w:bookmarkStart w:id="284" w:name="_Toc9367"/>
      <w:bookmarkStart w:id="285" w:name="_Toc58580333"/>
      <w:bookmarkStart w:id="286" w:name="_Toc23414"/>
      <w:bookmarkStart w:id="287" w:name="_Toc379"/>
      <w:r>
        <w:rPr>
          <w:rFonts w:hint="eastAsia" w:ascii="方正小标宋简体" w:hAnsi="方正小标宋简体" w:eastAsia="方正小标宋简体" w:cs="方正小标宋简体"/>
          <w:b w:val="0"/>
          <w:bCs w:val="0"/>
          <w:kern w:val="0"/>
        </w:rPr>
        <w:t>第三节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完善城镇水利基础设施</w:t>
      </w:r>
      <w:bookmarkEnd w:id="278"/>
      <w:bookmarkEnd w:id="279"/>
      <w:bookmarkEnd w:id="280"/>
      <w:bookmarkEnd w:id="281"/>
      <w:bookmarkEnd w:id="282"/>
      <w:bookmarkEnd w:id="283"/>
      <w:bookmarkEnd w:id="284"/>
    </w:p>
    <w:p w14:paraId="335193AB">
      <w:pPr>
        <w:spacing w:line="560" w:lineRule="exact"/>
        <w:ind w:firstLine="640" w:firstLineChars="200"/>
        <w:rPr>
          <w:rFonts w:ascii="Microsoft YaHei UI" w:hAnsi="Microsoft YaHei UI" w:eastAsia="Microsoft YaHei UI" w:cs="Microsoft YaHei UI"/>
          <w:color w:val="FFFFFF"/>
          <w:spacing w:val="15"/>
          <w:sz w:val="24"/>
          <w:szCs w:val="24"/>
          <w:shd w:val="clear" w:color="auto" w:fill="5F9CEF"/>
        </w:rPr>
      </w:pPr>
      <w:r>
        <w:rPr>
          <w:rFonts w:hint="eastAsia" w:ascii="仿宋_GB2312" w:hAnsi="仿宋_GB2312" w:eastAsia="仿宋_GB2312" w:cs="仿宋_GB2312"/>
          <w:kern w:val="0"/>
          <w:sz w:val="32"/>
          <w:szCs w:val="32"/>
        </w:rPr>
        <w:t>以保障经济社会发展、保障和改善民生、推动建设和谐社会为目标，立足高质量发展水安全保障需求，建立多元化水利投入机制，留住区域有限的水资源，保障经济快速发展的水安全，保护自然良好的水生态。建成一批骨干水源工程，联通一批干线管渠，形成一套水旱灾害防御综合体系，完善现代水利基础设施网络，有效解决区域发展工程性缺水问题。到2025年，全县年供水能力提升到14658.05万立方米，水资源开发利用率达30.35%，总投资21.71</w:t>
      </w:r>
      <w:r>
        <w:rPr>
          <w:rFonts w:ascii="仿宋_GB2312" w:hAnsi="仿宋_GB2312" w:eastAsia="仿宋_GB2312" w:cs="仿宋_GB2312"/>
          <w:kern w:val="0"/>
          <w:sz w:val="32"/>
          <w:szCs w:val="32"/>
        </w:rPr>
        <w:t>亿元</w:t>
      </w:r>
      <w:r>
        <w:rPr>
          <w:rFonts w:hint="eastAsia" w:ascii="仿宋_GB2312" w:hAnsi="仿宋_GB2312" w:eastAsia="仿宋_GB2312" w:cs="仿宋_GB2312"/>
          <w:kern w:val="0"/>
          <w:sz w:val="32"/>
          <w:szCs w:val="32"/>
        </w:rPr>
        <w:t>，城乡供水保障能力显著提升，水旱灾害防御能力明显增强，水资源节约集约利用水平更加高效，水生态空间管控制度基本建立，行业监管能力全面提升。</w:t>
      </w:r>
    </w:p>
    <w:p w14:paraId="758F8097">
      <w:pPr>
        <w:spacing w:line="560" w:lineRule="exact"/>
        <w:ind w:firstLine="643" w:firstLineChars="200"/>
        <w:rPr>
          <w:color w:val="333333"/>
          <w:sz w:val="30"/>
          <w:szCs w:val="30"/>
          <w:shd w:val="clear" w:color="auto" w:fill="FFFFFF"/>
        </w:rPr>
      </w:pPr>
      <w:r>
        <w:rPr>
          <w:rFonts w:hint="eastAsia" w:ascii="黑体" w:hAnsi="黑体" w:eastAsia="黑体"/>
          <w:b/>
          <w:bCs/>
          <w:kern w:val="0"/>
          <w:sz w:val="32"/>
          <w:szCs w:val="32"/>
        </w:rPr>
        <w:t>健全完善骨干水利设施体系</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以构建大水网为统领，把水利基础设施短板补到位。充分发挥骨干工程辐射作用，形成以骨干水源为主的水利设施体系，基本解决工程性缺水问题。新建两岔河、龙漩涡、龙滩、兴隆、龙洞沟等5座水库。启动清水河、头道河、滴水岩等3座水库前期工作，完成盘龙山水库扩容。新建双龙井至小桥河水库、养龙司水厂至西洋水厂、坪上工业园区至县城、龙坪至石硐、上坝至杉林、楠桥至上红马等6处水资源配置连通工程。充分发挥水网在防洪、抗旱、生态保护、城乡供水、工业用水、农村产业发展等各方面的重要作用，为经济社会发展提供坚强供水保障。</w:t>
      </w:r>
    </w:p>
    <w:p w14:paraId="15F79F23">
      <w:pPr>
        <w:spacing w:line="560" w:lineRule="exact"/>
        <w:ind w:firstLine="643" w:firstLineChars="200"/>
        <w:rPr>
          <w:color w:val="333333"/>
          <w:sz w:val="30"/>
          <w:szCs w:val="30"/>
          <w:shd w:val="clear" w:color="auto" w:fill="FFFFFF"/>
        </w:rPr>
      </w:pPr>
      <w:r>
        <w:rPr>
          <w:rFonts w:hint="eastAsia" w:ascii="黑体" w:hAnsi="黑体" w:eastAsia="黑体"/>
          <w:b/>
          <w:bCs/>
          <w:kern w:val="0"/>
          <w:sz w:val="32"/>
          <w:szCs w:val="32"/>
        </w:rPr>
        <w:t>加快防洪减灾薄弱环节建设。</w:t>
      </w:r>
      <w:r>
        <w:rPr>
          <w:rFonts w:hint="eastAsia" w:ascii="仿宋_GB2312" w:hAnsi="仿宋_GB2312" w:eastAsia="仿宋_GB2312" w:cs="仿宋_GB2312"/>
          <w:sz w:val="32"/>
          <w:szCs w:val="32"/>
        </w:rPr>
        <w:t>以城乡防洪减灾建设为重点，新建九庄河鸡场坝段、养龙司河干河沟段、九庄河盘龙山段、永靖河老鸦河段、三田河河坎、阳朗河三道拐段、息烽河潮水至下大土段等7条河道治理工程，实施青山乡山洪沟治理、鹿窝镇鹿龙村山洪沟治理工程，提升区域防洪标准，不断增强水旱灾害综合防御能力。</w:t>
      </w:r>
    </w:p>
    <w:p w14:paraId="5EB3E31F">
      <w:pPr>
        <w:widowControl/>
        <w:shd w:val="clear" w:color="auto" w:fill="FFFFFF"/>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kern w:val="0"/>
          <w:sz w:val="32"/>
          <w:szCs w:val="32"/>
        </w:rPr>
        <w:t>着力夯实乡村水利建设。</w:t>
      </w:r>
      <w:r>
        <w:rPr>
          <w:rFonts w:hint="eastAsia" w:ascii="仿宋_GB2312" w:hAnsi="仿宋_GB2312" w:eastAsia="仿宋_GB2312" w:cs="仿宋_GB2312"/>
          <w:kern w:val="0"/>
          <w:sz w:val="32"/>
          <w:szCs w:val="32"/>
        </w:rPr>
        <w:t>大力发展高效节水灌溉，以小水源工程建设、</w:t>
      </w:r>
      <w:r>
        <w:rPr>
          <w:rFonts w:hint="eastAsia" w:ascii="仿宋_GB2312" w:hAnsi="Times New Roman" w:eastAsia="仿宋_GB2312" w:cs="仿宋_GB2312"/>
          <w:sz w:val="32"/>
          <w:szCs w:val="32"/>
        </w:rPr>
        <w:t>中型灌区节水改造续建工程</w:t>
      </w:r>
      <w:r>
        <w:rPr>
          <w:rFonts w:hint="eastAsia" w:ascii="仿宋_GB2312" w:hAnsi="仿宋_GB2312" w:eastAsia="仿宋_GB2312" w:cs="仿宋_GB2312"/>
          <w:kern w:val="0"/>
          <w:sz w:val="32"/>
          <w:szCs w:val="32"/>
        </w:rPr>
        <w:t>和水土保持重点工程为抓手，加快推进</w:t>
      </w:r>
      <w:r>
        <w:rPr>
          <w:rFonts w:ascii="仿宋_GB2312" w:hAnsi="仿宋_GB2312" w:eastAsia="仿宋_GB2312" w:cs="仿宋_GB2312"/>
          <w:kern w:val="0"/>
          <w:sz w:val="32"/>
          <w:szCs w:val="32"/>
        </w:rPr>
        <w:t>坝区节水改造和现代化建设，完成石硐镇农业灌溉节水改造工程。</w:t>
      </w:r>
      <w:r>
        <w:rPr>
          <w:rFonts w:hint="eastAsia" w:ascii="仿宋_GB2312" w:hAnsi="Times New Roman" w:eastAsia="仿宋_GB2312" w:cs="仿宋_GB2312"/>
          <w:sz w:val="32"/>
          <w:szCs w:val="32"/>
        </w:rPr>
        <w:t>实施九庄水厂、红星水厂、西山水厂、沙井水厂、高坡井水厂扩建工</w:t>
      </w:r>
      <w:r>
        <w:rPr>
          <w:rFonts w:hint="eastAsia" w:ascii="仿宋_GB2312" w:hAnsi="仿宋_GB2312" w:eastAsia="仿宋_GB2312" w:cs="仿宋_GB2312"/>
          <w:kern w:val="0"/>
          <w:sz w:val="32"/>
          <w:szCs w:val="32"/>
        </w:rPr>
        <w:t>程，新建、改造管网650公里，</w:t>
      </w:r>
      <w:r>
        <w:rPr>
          <w:rFonts w:ascii="仿宋_GB2312" w:hAnsi="仿宋_GB2312" w:eastAsia="仿宋_GB2312" w:cs="仿宋_GB2312"/>
          <w:kern w:val="0"/>
          <w:sz w:val="32"/>
          <w:szCs w:val="32"/>
        </w:rPr>
        <w:t>持续提升农村供水保障水平，</w:t>
      </w:r>
      <w:r>
        <w:rPr>
          <w:rFonts w:hint="eastAsia" w:ascii="仿宋_GB2312" w:hAnsi="仿宋_GB2312" w:eastAsia="仿宋_GB2312" w:cs="仿宋_GB2312"/>
          <w:kern w:val="0"/>
          <w:sz w:val="32"/>
          <w:szCs w:val="32"/>
        </w:rPr>
        <w:t>全县</w:t>
      </w:r>
      <w:r>
        <w:rPr>
          <w:rFonts w:hint="eastAsia" w:ascii="仿宋_GB2312" w:hAnsi="Times New Roman" w:eastAsia="仿宋_GB2312" w:cs="仿宋_GB2312"/>
          <w:sz w:val="32"/>
          <w:szCs w:val="32"/>
        </w:rPr>
        <w:t>集中供水保障率保持95%以上</w:t>
      </w:r>
      <w:r>
        <w:rPr>
          <w:rFonts w:ascii="仿宋_GB2312" w:hAnsi="仿宋_GB2312" w:eastAsia="仿宋_GB2312" w:cs="仿宋_GB2312"/>
          <w:kern w:val="0"/>
          <w:sz w:val="32"/>
          <w:szCs w:val="32"/>
        </w:rPr>
        <w:t>。</w:t>
      </w:r>
    </w:p>
    <w:p w14:paraId="3606824B">
      <w:pPr>
        <w:spacing w:line="560" w:lineRule="exact"/>
        <w:ind w:firstLine="643" w:firstLineChars="200"/>
        <w:rPr>
          <w:color w:val="333333"/>
          <w:sz w:val="30"/>
          <w:szCs w:val="30"/>
          <w:shd w:val="clear" w:color="auto" w:fill="FFFFFF"/>
        </w:rPr>
      </w:pPr>
      <w:r>
        <w:rPr>
          <w:rFonts w:hint="eastAsia" w:ascii="黑体" w:hAnsi="黑体" w:eastAsia="黑体"/>
          <w:b/>
          <w:bCs/>
          <w:kern w:val="0"/>
          <w:sz w:val="32"/>
          <w:szCs w:val="32"/>
        </w:rPr>
        <w:t>推进水生态建设。</w:t>
      </w:r>
      <w:r>
        <w:rPr>
          <w:rFonts w:hint="eastAsia" w:ascii="仿宋_GB2312" w:hAnsi="Times New Roman" w:eastAsia="仿宋_GB2312" w:cs="仿宋_GB2312"/>
          <w:sz w:val="32"/>
          <w:szCs w:val="32"/>
        </w:rPr>
        <w:t>持续巩固河长制和节水型社会建设成果，推进河湖综合治理，实施农村水系综合治理工程，治理流域水土流失面积60平方公里，完成县城污水处理三期工程，提标改造温泉镇、九庄镇污水处理厂，启动实施养龙司镇、流长镇2处中水回用工程，持续改善流域生态环境</w:t>
      </w:r>
      <w:r>
        <w:rPr>
          <w:rFonts w:hint="eastAsia" w:ascii="仿宋_GB2312" w:hAnsi="仿宋_GB2312" w:eastAsia="仿宋_GB2312" w:cs="仿宋_GB2312"/>
          <w:kern w:val="0"/>
          <w:sz w:val="32"/>
          <w:szCs w:val="32"/>
        </w:rPr>
        <w:t>。进一步加强水资源、江河湖泊、水土保持、水旱灾害防御、水利工程运行、水利资金、水利安全生产等方面监管力度，推进重要领域和关键环节水利改革，建立健全水利工程良性运行，促使水治理体系和治理能力进一步增强。</w:t>
      </w:r>
    </w:p>
    <w:p w14:paraId="0DAE8FE1">
      <w:pPr>
        <w:widowControl/>
        <w:shd w:val="clear" w:color="auto" w:fill="FFFFFF"/>
        <w:spacing w:after="0" w:afterLines="0"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kern w:val="0"/>
          <w:sz w:val="32"/>
          <w:szCs w:val="32"/>
        </w:rPr>
        <w:t>建设智慧水务系统</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加快互联网、大数据、人工智能等高新技术与水利工作深度融合，积极发展“智慧水务”，实现流域区域互联互通和信息资源集成共享，逐步提升水利信息化水平。完成重点供水区域水资源监控系统开发，实现水务信息感知、采集、传输、汇总、分析、预警及应用的网络化、自动化、智能化和可视化。</w:t>
      </w:r>
    </w:p>
    <w:p w14:paraId="1FE4116F">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288" w:name="_Toc24689"/>
      <w:bookmarkStart w:id="289" w:name="_Toc23104"/>
      <w:bookmarkStart w:id="290" w:name="_Toc6270"/>
      <w:bookmarkStart w:id="291" w:name="_Toc24711"/>
      <w:bookmarkStart w:id="292" w:name="_Toc3317"/>
      <w:bookmarkStart w:id="293" w:name="_Toc20803"/>
      <w:bookmarkStart w:id="294" w:name="_Toc61193800"/>
      <w:r>
        <w:rPr>
          <w:rFonts w:hint="eastAsia" w:ascii="方正小标宋简体" w:hAnsi="方正小标宋简体" w:eastAsia="方正小标宋简体" w:cs="方正小标宋简体"/>
          <w:b w:val="0"/>
          <w:bCs w:val="0"/>
          <w:kern w:val="0"/>
        </w:rPr>
        <w:t>第四节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畅通城市各类管网等设施</w:t>
      </w:r>
      <w:bookmarkEnd w:id="288"/>
      <w:bookmarkEnd w:id="289"/>
      <w:bookmarkEnd w:id="290"/>
      <w:bookmarkEnd w:id="291"/>
      <w:bookmarkEnd w:id="292"/>
      <w:bookmarkEnd w:id="293"/>
      <w:bookmarkEnd w:id="294"/>
    </w:p>
    <w:p w14:paraId="1FE241D0">
      <w:pPr>
        <w:widowControl/>
        <w:shd w:val="clear" w:color="auto" w:fill="FFFFFF"/>
        <w:spacing w:after="150" w:afterLines="0"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kern w:val="0"/>
          <w:sz w:val="32"/>
          <w:szCs w:val="32"/>
        </w:rPr>
        <w:t>完善城镇管网。</w:t>
      </w:r>
      <w:r>
        <w:rPr>
          <w:rFonts w:hint="eastAsia" w:ascii="仿宋_GB2312" w:hAnsi="仿宋_GB2312" w:eastAsia="仿宋_GB2312" w:cs="仿宋_GB2312"/>
          <w:kern w:val="0"/>
          <w:sz w:val="32"/>
          <w:szCs w:val="32"/>
        </w:rPr>
        <w:t>按照服务产业、保障民生、绿色环保、智能高效原则和“功能复合、干支结合、系统成网”的要求，持续推进“六网会战”。统筹协调电力、通讯、给排水、燃气等地下管网建设，推进地下管网同步连通，构建规模和布局与城市人口、城市建设、产业发展需求相匹配的地下管网，有序推进地下综合管廊建设。优化提升老城区污水收集管网系统，完善城市公共供水管网，扩大覆盖范围，降低漏损率。与城市道路同步实施虎城大道改扩建、解放南路改扩建、东环线城市干道、龙泉大道续建的雨污管网项目，实施老旧小区配套雨污管网改造，建设地下雨污管网61公里。加强城市防洪设施建设，推进城市排水管网、排涝泵站和排涝河道等建设改造，完善城市排水与暴雨外洪内涝防治体系，提高城市应对极端天气能力。到2</w:t>
      </w:r>
      <w:r>
        <w:rPr>
          <w:rFonts w:ascii="仿宋_GB2312" w:hAnsi="仿宋_GB2312" w:eastAsia="仿宋_GB2312" w:cs="仿宋_GB2312"/>
          <w:kern w:val="0"/>
          <w:sz w:val="32"/>
          <w:szCs w:val="32"/>
        </w:rPr>
        <w:t>025</w:t>
      </w:r>
      <w:r>
        <w:rPr>
          <w:rFonts w:hint="eastAsia" w:ascii="仿宋_GB2312" w:hAnsi="仿宋_GB2312" w:eastAsia="仿宋_GB2312" w:cs="仿宋_GB2312"/>
          <w:kern w:val="0"/>
          <w:sz w:val="32"/>
          <w:szCs w:val="32"/>
        </w:rPr>
        <w:t>年，全县城市公共供水管网漏损率降低至1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，供水保障率保持9</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以上，城镇污水处理率保持9</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以上。继续推进县域天然气管网铺设，力争</w:t>
      </w:r>
      <w:r>
        <w:rPr>
          <w:rFonts w:hint="eastAsia" w:ascii="仿宋_GB2312" w:hAnsi="仿宋_GB2312" w:eastAsia="仿宋_GB2312" w:cs="仿宋_GB2312"/>
          <w:spacing w:val="12"/>
          <w:kern w:val="0"/>
          <w:sz w:val="32"/>
          <w:szCs w:val="32"/>
          <w:shd w:val="clear" w:color="auto" w:fill="FFFFFF"/>
        </w:rPr>
        <w:t>县城小区天然气管网实现全覆盖。打通中缅天然气管道接口，加快推动中石油昆仑石油天然气管道项目建设、港华天然气等企业管网建设，形成覆盖全域的供气管网，为生产生活提供用气保障。</w:t>
      </w:r>
      <w:r>
        <w:rPr>
          <w:rFonts w:hint="eastAsia" w:ascii="仿宋_GB2312" w:hAnsi="仿宋_GB2312" w:eastAsia="仿宋_GB2312" w:cs="仿宋_GB2312"/>
          <w:kern w:val="0"/>
          <w:sz w:val="32"/>
          <w:szCs w:val="32"/>
        </w:rPr>
        <w:t>配套完成流长镇、鹿窝镇、石硐镇、养龙司镇、九庄镇、青山苗族乡市政燃气供应站点管网建设项目，通过铺设高压燃气管道、中低压输气管网、供气入户管网及建设输气加气站、城市供气门站等设施，提供天</w:t>
      </w:r>
      <w:r>
        <w:rPr>
          <w:rFonts w:hint="eastAsia" w:ascii="仿宋_GB2312" w:hAnsi="仿宋_GB2312" w:eastAsia="仿宋_GB2312" w:cs="仿宋_GB2312"/>
          <w:kern w:val="0"/>
          <w:sz w:val="32"/>
          <w:szCs w:val="32"/>
          <w:lang w:eastAsia="zh-CN"/>
        </w:rPr>
        <w:t>然</w:t>
      </w:r>
      <w:bookmarkStart w:id="974" w:name="_GoBack"/>
      <w:bookmarkEnd w:id="974"/>
      <w:r>
        <w:rPr>
          <w:rFonts w:hint="eastAsia" w:ascii="仿宋_GB2312" w:hAnsi="仿宋_GB2312" w:eastAsia="仿宋_GB2312" w:cs="仿宋_GB2312"/>
          <w:kern w:val="0"/>
          <w:sz w:val="32"/>
          <w:szCs w:val="32"/>
        </w:rPr>
        <w:t>气管网供应及定点输气加气商业服务，完成总投资2.5亿元。</w:t>
      </w:r>
    </w:p>
    <w:p w14:paraId="02F35046">
      <w:pPr>
        <w:tabs>
          <w:tab w:val="center" w:pos="4153"/>
          <w:tab w:val="right" w:pos="8306"/>
        </w:tabs>
        <w:snapToGrid w:val="0"/>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kern w:val="0"/>
          <w:sz w:val="32"/>
          <w:szCs w:val="32"/>
        </w:rPr>
        <w:t>完善城镇电网</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pacing w:val="12"/>
          <w:kern w:val="0"/>
          <w:sz w:val="32"/>
          <w:szCs w:val="32"/>
          <w:shd w:val="clear" w:color="auto" w:fill="FFFFFF"/>
        </w:rPr>
        <w:t>坚持推动电力基础设施建设与全县重大项目、重要区域发展需求无缝对接，将电网规划与国土空间规划有机衔接和同步实施，不断提升服务建设和发展能力。</w:t>
      </w:r>
      <w:r>
        <w:rPr>
          <w:rFonts w:hint="eastAsia" w:ascii="仿宋_GB2312" w:hAnsi="仿宋_GB2312" w:eastAsia="仿宋_GB2312" w:cs="仿宋_GB2312"/>
          <w:kern w:val="0"/>
          <w:sz w:val="32"/>
          <w:szCs w:val="32"/>
        </w:rPr>
        <w:t>优化电力生产和输送通道布局，提升新能源消纳和存储能力，提升区域间输配电能力。</w:t>
      </w:r>
      <w:r>
        <w:rPr>
          <w:rFonts w:hint="eastAsia" w:ascii="仿宋_GB2312" w:hAnsi="仿宋_GB2312" w:eastAsia="仿宋_GB2312" w:cs="仿宋_GB2312"/>
          <w:spacing w:val="12"/>
          <w:kern w:val="0"/>
          <w:sz w:val="32"/>
          <w:szCs w:val="32"/>
          <w:shd w:val="clear" w:color="auto" w:fill="FFFFFF"/>
        </w:rPr>
        <w:t>积极优化工业园区供电网络，推进冷链物流配套电力设施建设，着力构建畅通高效、安全稳定的电力服务网络。</w:t>
      </w:r>
      <w:r>
        <w:rPr>
          <w:rFonts w:hint="eastAsia" w:ascii="仿宋_GB2312" w:hAnsi="仿宋_GB2312" w:eastAsia="仿宋_GB2312" w:cs="仿宋_GB2312"/>
          <w:sz w:val="32"/>
          <w:szCs w:val="32"/>
        </w:rPr>
        <w:t>新建110kV马田变电站、110kV流长2#变电站、35kV青山变电站，新建和改造以上各变电站电网线路。</w:t>
      </w:r>
      <w:r>
        <w:rPr>
          <w:rFonts w:ascii="仿宋_GB2312" w:hAnsi="仿宋_GB2312" w:eastAsia="仿宋_GB2312" w:cs="仿宋_GB2312"/>
          <w:spacing w:val="12"/>
          <w:kern w:val="0"/>
          <w:sz w:val="32"/>
          <w:szCs w:val="32"/>
          <w:shd w:val="clear" w:color="auto" w:fill="FFFFFF"/>
        </w:rPr>
        <w:t>逐步形成花瓣式、网格化的主网结构，强化区域电力保障。加快实施城乡电网改造升级，结合中心城区、重点镇和产业园区建设，规划一批中小型变电站和输变电线路，增强城镇和产业园区供电保障能力。以新一轮农网改造升级为契机，把建设和改造中心镇电网作为探索农网改造的新思</w:t>
      </w:r>
      <w:r>
        <w:rPr>
          <w:rFonts w:hint="eastAsia" w:ascii="仿宋_GB2312" w:hAnsi="仿宋_GB2312" w:eastAsia="仿宋_GB2312" w:cs="仿宋_GB2312"/>
          <w:spacing w:val="12"/>
          <w:kern w:val="0"/>
          <w:sz w:val="32"/>
          <w:szCs w:val="32"/>
          <w:shd w:val="clear" w:color="auto" w:fill="FFFFFF"/>
        </w:rPr>
        <w:t>路，建设适度集约农网的切入点，</w:t>
      </w:r>
      <w:r>
        <w:rPr>
          <w:rFonts w:ascii="仿宋_GB2312" w:hAnsi="仿宋_GB2312" w:eastAsia="仿宋_GB2312" w:cs="仿宋_GB2312"/>
          <w:spacing w:val="12"/>
          <w:kern w:val="0"/>
          <w:sz w:val="32"/>
          <w:szCs w:val="32"/>
          <w:shd w:val="clear" w:color="auto" w:fill="FFFFFF"/>
        </w:rPr>
        <w:t>改造和完善农村10kV网络结构，提高供电可靠性和稳定性。</w:t>
      </w:r>
    </w:p>
    <w:p w14:paraId="6DF936FF">
      <w:pPr>
        <w:widowControl/>
        <w:snapToGrid w:val="0"/>
        <w:spacing w:line="560" w:lineRule="exact"/>
        <w:ind w:firstLine="643" w:firstLineChars="200"/>
        <w:rPr>
          <w:rFonts w:ascii="仿宋_GB2312" w:hAnsi="仿宋_GB2312" w:eastAsia="仿宋_GB2312" w:cs="仿宋_GB2312"/>
          <w:spacing w:val="12"/>
          <w:kern w:val="0"/>
          <w:sz w:val="32"/>
          <w:szCs w:val="32"/>
          <w:shd w:val="clear" w:color="auto" w:fill="FFFFFF"/>
        </w:rPr>
      </w:pPr>
      <w:r>
        <w:rPr>
          <w:rFonts w:hint="eastAsia" w:ascii="黑体" w:hAnsi="黑体" w:eastAsia="黑体"/>
          <w:b/>
          <w:bCs/>
          <w:kern w:val="0"/>
          <w:sz w:val="32"/>
          <w:szCs w:val="32"/>
        </w:rPr>
        <w:t>完善城镇油气管网</w:t>
      </w:r>
      <w:r>
        <w:rPr>
          <w:rFonts w:ascii="仿宋_GB2312" w:hAnsi="仿宋_GB2312" w:eastAsia="仿宋_GB2312" w:cs="仿宋_GB2312"/>
          <w:b/>
          <w:bCs/>
          <w:kern w:val="0"/>
          <w:sz w:val="32"/>
          <w:szCs w:val="32"/>
        </w:rPr>
        <w:t>。</w:t>
      </w:r>
      <w:r>
        <w:rPr>
          <w:rFonts w:ascii="仿宋_GB2312" w:hAnsi="仿宋_GB2312" w:eastAsia="仿宋_GB2312" w:cs="仿宋_GB2312"/>
          <w:spacing w:val="12"/>
          <w:kern w:val="0"/>
          <w:sz w:val="32"/>
          <w:szCs w:val="32"/>
          <w:shd w:val="clear" w:color="auto" w:fill="FFFFFF"/>
        </w:rPr>
        <w:t>加快城镇油气管网建设进程，推进社会资本参与加油站、输气站、加气站、LNG液化工厂、CNG供气站等设施建设和运营，积极做好项目相关协调和服务工作。保障中心城区、工业园区、旅游公路、重点乡镇、物流通道的加油站需求，基本建成覆盖城乡的加油站网络体系。续建鹿窝加油站、息烽盘脚营加油站，新建温泉大塘口港区加油站、西山鹿窝村加油站、九庄竹花加油站、石硐玉龙加油站。</w:t>
      </w:r>
    </w:p>
    <w:bookmarkEnd w:id="285"/>
    <w:bookmarkEnd w:id="286"/>
    <w:bookmarkEnd w:id="287"/>
    <w:p w14:paraId="79928920">
      <w:pPr>
        <w:pStyle w:val="3"/>
        <w:pageBreakBefore/>
        <w:spacing w:before="312" w:beforeLines="100" w:after="312" w:afterLines="100" w:line="560" w:lineRule="exact"/>
        <w:jc w:val="center"/>
        <w:rPr>
          <w:rFonts w:ascii="方正小标宋简体" w:hAnsi="方正小标宋简体" w:eastAsia="方正小标宋简体" w:cs="方正小标宋简体"/>
          <w:b w:val="0"/>
          <w:bCs w:val="0"/>
          <w:spacing w:val="-17"/>
          <w:sz w:val="36"/>
          <w:szCs w:val="36"/>
        </w:rPr>
      </w:pPr>
      <w:bookmarkStart w:id="295" w:name="_Toc6625"/>
      <w:bookmarkStart w:id="296" w:name="_Toc2179"/>
      <w:bookmarkStart w:id="297" w:name="_Toc61193801"/>
      <w:bookmarkStart w:id="298" w:name="_Toc20463"/>
      <w:bookmarkStart w:id="299" w:name="_Toc5541"/>
      <w:bookmarkStart w:id="300" w:name="_Toc13184"/>
      <w:bookmarkStart w:id="301" w:name="_Toc17267"/>
      <w:r>
        <w:rPr>
          <w:rFonts w:hint="eastAsia" w:ascii="方正小标宋简体" w:hAnsi="方正小标宋简体" w:eastAsia="方正小标宋简体" w:cs="方正小标宋简体"/>
          <w:b w:val="0"/>
          <w:bCs w:val="0"/>
          <w:spacing w:val="-17"/>
          <w:sz w:val="36"/>
          <w:szCs w:val="36"/>
        </w:rPr>
        <w:t xml:space="preserve">第六章 </w:t>
      </w:r>
      <w:r>
        <w:rPr>
          <w:rFonts w:ascii="方正小标宋简体" w:hAnsi="方正小标宋简体" w:eastAsia="方正小标宋简体" w:cs="方正小标宋简体"/>
          <w:b w:val="0"/>
          <w:bCs w:val="0"/>
          <w:spacing w:val="-17"/>
          <w:sz w:val="36"/>
          <w:szCs w:val="36"/>
        </w:rPr>
        <w:t xml:space="preserve"> </w:t>
      </w:r>
      <w:r>
        <w:rPr>
          <w:rFonts w:hint="eastAsia" w:ascii="方正小标宋简体" w:hAnsi="方正小标宋简体" w:eastAsia="方正小标宋简体" w:cs="方正小标宋简体"/>
          <w:b w:val="0"/>
          <w:bCs w:val="0"/>
          <w:spacing w:val="-17"/>
          <w:sz w:val="36"/>
          <w:szCs w:val="36"/>
        </w:rPr>
        <w:t>全面推进乡村振兴</w:t>
      </w:r>
      <w:r>
        <w:rPr>
          <w:rFonts w:hint="eastAsia" w:ascii="方正小标宋简体" w:hAnsi="方正小标宋简体" w:eastAsia="方正小标宋简体" w:cs="方正小标宋简体"/>
          <w:b w:val="0"/>
          <w:bCs w:val="0"/>
          <w:spacing w:val="-17"/>
          <w:sz w:val="36"/>
          <w:szCs w:val="36"/>
          <w:lang w:val="en-US" w:eastAsia="zh-CN"/>
        </w:rPr>
        <w:t xml:space="preserve">  高质量</w:t>
      </w:r>
      <w:r>
        <w:rPr>
          <w:rFonts w:hint="eastAsia" w:ascii="方正小标宋简体" w:hAnsi="方正小标宋简体" w:eastAsia="方正小标宋简体" w:cs="方正小标宋简体"/>
          <w:b w:val="0"/>
          <w:bCs w:val="0"/>
          <w:spacing w:val="-17"/>
          <w:kern w:val="2"/>
          <w:sz w:val="36"/>
          <w:szCs w:val="36"/>
        </w:rPr>
        <w:t>推动农业农村现代化</w:t>
      </w:r>
      <w:bookmarkEnd w:id="174"/>
      <w:bookmarkEnd w:id="175"/>
      <w:bookmarkEnd w:id="176"/>
      <w:bookmarkEnd w:id="177"/>
      <w:bookmarkEnd w:id="178"/>
      <w:bookmarkEnd w:id="179"/>
      <w:bookmarkEnd w:id="180"/>
      <w:bookmarkEnd w:id="181"/>
      <w:bookmarkEnd w:id="182"/>
      <w:bookmarkEnd w:id="295"/>
      <w:bookmarkEnd w:id="296"/>
      <w:bookmarkEnd w:id="297"/>
      <w:bookmarkEnd w:id="298"/>
      <w:bookmarkEnd w:id="299"/>
      <w:bookmarkEnd w:id="300"/>
      <w:bookmarkEnd w:id="301"/>
    </w:p>
    <w:p w14:paraId="188D3AE6">
      <w:pPr>
        <w:tabs>
          <w:tab w:val="left" w:pos="144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坚持农业农村优先发展，守牢粮食安全底线，以田园综合体建设为载体，服务城市、富裕农民</w:t>
      </w:r>
      <w:r>
        <w:rPr>
          <w:rFonts w:hint="eastAsia" w:ascii="Times New Roman" w:hAnsi="Times New Roman" w:eastAsia="仿宋_GB2312" w:cs="Times New Roman"/>
          <w:sz w:val="32"/>
          <w:szCs w:val="32"/>
          <w:lang w:eastAsia="zh-CN"/>
        </w:rPr>
        <w:t>两大任务，瞄准做强农业经营主体、提升农产品加工转化率、建设富美乡村三大</w:t>
      </w:r>
      <w:r>
        <w:rPr>
          <w:rFonts w:hint="eastAsia" w:ascii="Times New Roman" w:hAnsi="Times New Roman" w:eastAsia="仿宋_GB2312" w:cs="Times New Roman"/>
          <w:sz w:val="32"/>
          <w:szCs w:val="32"/>
        </w:rPr>
        <w:t>标，巩固拓展脱贫攻坚成果，统筹推进</w:t>
      </w:r>
      <w:r>
        <w:rPr>
          <w:rFonts w:hint="eastAsia" w:ascii="Times New Roman" w:hAnsi="Times New Roman" w:eastAsia="仿宋_GB2312" w:cs="Times New Roman"/>
          <w:sz w:val="32"/>
          <w:szCs w:val="32"/>
          <w:lang w:eastAsia="zh-CN"/>
        </w:rPr>
        <w:t>“五个振兴”</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着力打造多业态高水平乡村振兴样板，</w:t>
      </w:r>
      <w:r>
        <w:rPr>
          <w:rFonts w:hint="eastAsia" w:ascii="仿宋_GB2312" w:eastAsia="仿宋_GB2312"/>
          <w:sz w:val="32"/>
          <w:szCs w:val="32"/>
        </w:rPr>
        <w:t>促进农业高质高效、乡村宜居宜业、农民富裕富足，</w:t>
      </w:r>
      <w:r>
        <w:rPr>
          <w:rFonts w:hint="eastAsia" w:ascii="Times New Roman" w:hAnsi="Times New Roman" w:eastAsia="仿宋_GB2312" w:cs="Times New Roman"/>
          <w:sz w:val="32"/>
          <w:szCs w:val="32"/>
        </w:rPr>
        <w:t>谱写新时代“三农”工作新篇章。</w:t>
      </w:r>
    </w:p>
    <w:p w14:paraId="7F28B1DF">
      <w:pPr>
        <w:tabs>
          <w:tab w:val="left" w:pos="1440"/>
        </w:tabs>
        <w:spacing w:line="520" w:lineRule="exact"/>
        <w:jc w:val="center"/>
        <w:outlineLvl w:val="1"/>
        <w:rPr>
          <w:rFonts w:ascii="方正小标宋简体" w:hAnsi="方正小标宋简体" w:eastAsia="方正小标宋简体" w:cs="方正小标宋简体"/>
          <w:b w:val="0"/>
          <w:bCs w:val="0"/>
          <w:sz w:val="32"/>
          <w:szCs w:val="32"/>
        </w:rPr>
      </w:pPr>
      <w:bookmarkStart w:id="302" w:name="_Toc4451"/>
      <w:bookmarkStart w:id="303" w:name="_Toc31965"/>
      <w:bookmarkStart w:id="304" w:name="_Toc17802"/>
      <w:bookmarkStart w:id="305" w:name="_Toc19734"/>
      <w:bookmarkStart w:id="306" w:name="_Toc25145"/>
      <w:bookmarkStart w:id="307" w:name="_Toc13696"/>
      <w:bookmarkStart w:id="308" w:name="_Toc61193802"/>
      <w:r>
        <w:rPr>
          <w:rFonts w:hint="eastAsia" w:ascii="方正小标宋简体" w:hAnsi="方正小标宋简体" w:eastAsia="方正小标宋简体" w:cs="方正小标宋简体"/>
          <w:b w:val="0"/>
          <w:bCs w:val="0"/>
          <w:sz w:val="32"/>
          <w:szCs w:val="32"/>
        </w:rPr>
        <w:t>第一节  以“田园综合体”牵引新时代乡村建设</w:t>
      </w:r>
      <w:bookmarkEnd w:id="302"/>
      <w:bookmarkEnd w:id="303"/>
      <w:bookmarkEnd w:id="304"/>
      <w:bookmarkEnd w:id="305"/>
      <w:bookmarkEnd w:id="306"/>
      <w:bookmarkEnd w:id="307"/>
      <w:bookmarkEnd w:id="308"/>
    </w:p>
    <w:p w14:paraId="75F92D39">
      <w:pPr>
        <w:tabs>
          <w:tab w:val="left" w:pos="144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要</w:t>
      </w:r>
      <w:r>
        <w:rPr>
          <w:rFonts w:hint="eastAsia" w:ascii="Times New Roman" w:hAnsi="Times New Roman" w:eastAsia="仿宋_GB2312" w:cs="Times New Roman"/>
          <w:sz w:val="32"/>
          <w:szCs w:val="32"/>
        </w:rPr>
        <w:t>按</w:t>
      </w:r>
      <w:r>
        <w:rPr>
          <w:rFonts w:hint="eastAsia" w:ascii="Times New Roman" w:hAnsi="Times New Roman" w:eastAsia="仿宋_GB2312" w:cs="Times New Roman"/>
          <w:sz w:val="32"/>
          <w:szCs w:val="32"/>
          <w:lang w:eastAsia="zh-CN"/>
        </w:rPr>
        <w:t>“推动田园综合体由梯次推进向全域展开转变”，以</w:t>
      </w:r>
      <w:r>
        <w:rPr>
          <w:rFonts w:hint="eastAsia" w:ascii="Times New Roman" w:hAnsi="Times New Roman" w:eastAsia="仿宋_GB2312" w:cs="Times New Roman"/>
          <w:sz w:val="32"/>
          <w:szCs w:val="32"/>
        </w:rPr>
        <w:t>“农味无穷、趣味无限、庄园引领、共建共享”的总体发展思路，综合考虑土地利用、产业发展、居民点布局、生态保护和历史文化传承等因素，以田园综合体作为推进“三农”工作提质增效的突破口，</w:t>
      </w:r>
      <w:r>
        <w:rPr>
          <w:rFonts w:ascii="Times New Roman" w:hAnsi="Times New Roman" w:eastAsia="仿宋_GB2312" w:cs="Times New Roman"/>
          <w:sz w:val="32"/>
          <w:szCs w:val="32"/>
        </w:rPr>
        <w:t>规划设计、</w:t>
      </w:r>
      <w:r>
        <w:rPr>
          <w:rFonts w:hint="eastAsia" w:ascii="Times New Roman" w:hAnsi="Times New Roman" w:eastAsia="仿宋_GB2312" w:cs="Times New Roman"/>
          <w:sz w:val="32"/>
          <w:szCs w:val="32"/>
        </w:rPr>
        <w:t>分类</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rPr>
        <w:t>以精品水果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中药材、生态畜禽渔及农旅、农工等多业态融合发展的</w:t>
      </w:r>
      <w:r>
        <w:rPr>
          <w:rFonts w:hint="eastAsia" w:ascii="仿宋_GB2312" w:hAnsi="仿宋_GB2312" w:eastAsia="仿宋_GB2312" w:cs="仿宋_GB2312"/>
          <w:sz w:val="32"/>
          <w:szCs w:val="32"/>
        </w:rPr>
        <w:t>美丽南山、阳朗风情、红壤碧珠、氡泉康养、锦绣桃源、百果飘香、时光杉林、画廊乌江、浪漫天鹅、归田园居、苌楚庄园、红色流长、鹿鸣翠谷、青花苗乡、金色绿茵等15个田园综合体</w:t>
      </w:r>
      <w:r>
        <w:rPr>
          <w:rFonts w:hint="eastAsia" w:ascii="仿宋_GB2312" w:hAnsi="仿宋_GB2312" w:eastAsia="仿宋_GB2312" w:cs="仿宋_GB2312"/>
          <w:sz w:val="32"/>
          <w:szCs w:val="32"/>
          <w:lang w:eastAsia="zh-CN"/>
        </w:rPr>
        <w:t>，并不断向全域展开</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rPr>
        <w:t>。</w:t>
      </w:r>
    </w:p>
    <w:p w14:paraId="09983C17">
      <w:pPr>
        <w:tabs>
          <w:tab w:val="left" w:pos="144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乡（镇、街道）围绕园区建设、特色小（城）镇、人口聚集区、山间田坝等重点区域和特色资源，以数字乡村建设、农旅融合为抓手，稳步优化种养殖结构，综合布局农产品加工业、乡村服务业、休闲农业等新业态，推动农村一二三产业融合发展和5G技术在农业领域的应用，确保各个田园综合体特色彰显、衔接有序、整体互动、相得益彰，让农民充分参与和受益。</w:t>
      </w:r>
    </w:p>
    <w:p w14:paraId="61BB0E1D">
      <w:pPr>
        <w:tabs>
          <w:tab w:val="left" w:pos="1440"/>
        </w:tabs>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大农村水电气路讯基础设施建设，大力提升农村公共服务水平，科学布局乡村生产生活生态空间，搭建县域田园综合体协同发展平台，健全农产品精深加工、乡村旅游、休闲农业、民宿经济、健康养老等新业态培育机制，</w:t>
      </w:r>
      <w:r>
        <w:rPr>
          <w:rFonts w:hint="eastAsia" w:ascii="Times New Roman" w:hAnsi="Times New Roman" w:eastAsia="仿宋_GB2312" w:cs="Times New Roman"/>
          <w:bCs/>
          <w:sz w:val="32"/>
          <w:szCs w:val="32"/>
          <w:shd w:val="clear" w:color="auto" w:fill="FFFFFF"/>
        </w:rPr>
        <w:t>鼓励工商资本投资适合产业化规模化集约化经营的农业领域</w:t>
      </w:r>
      <w:r>
        <w:rPr>
          <w:rFonts w:hint="eastAsia" w:ascii="Times New Roman" w:hAnsi="Times New Roman" w:eastAsia="仿宋_GB2312" w:cs="Times New Roman"/>
          <w:sz w:val="32"/>
          <w:szCs w:val="32"/>
        </w:rPr>
        <w:t>，打通城市大市场与乡村优质资源有效对接的转换通道，把田园综合体带入城乡经济循环，确保田园综合体成为巩固拓展脱贫攻坚成果、推进乡村振兴的重要载体。</w:t>
      </w:r>
    </w:p>
    <w:p w14:paraId="22F23DA8">
      <w:pPr>
        <w:spacing w:line="520" w:lineRule="exact"/>
        <w:jc w:val="center"/>
        <w:outlineLvl w:val="1"/>
        <w:rPr>
          <w:rFonts w:ascii="方正小标宋简体" w:hAnsi="方正小标宋简体" w:eastAsia="方正小标宋简体" w:cs="方正小标宋简体"/>
          <w:b w:val="0"/>
          <w:bCs w:val="0"/>
          <w:sz w:val="32"/>
          <w:szCs w:val="32"/>
        </w:rPr>
      </w:pPr>
      <w:bookmarkStart w:id="309" w:name="_Toc3535"/>
      <w:bookmarkStart w:id="310" w:name="_Toc11942"/>
      <w:bookmarkStart w:id="311" w:name="_Toc4148"/>
      <w:bookmarkStart w:id="312" w:name="_Toc28016"/>
      <w:bookmarkStart w:id="313" w:name="_Toc27230"/>
      <w:bookmarkStart w:id="314" w:name="_Toc32064"/>
      <w:bookmarkStart w:id="315" w:name="_Toc61193803"/>
      <w:r>
        <w:rPr>
          <w:rFonts w:hint="eastAsia" w:ascii="方正小标宋简体" w:hAnsi="方正小标宋简体" w:eastAsia="方正小标宋简体" w:cs="方正小标宋简体"/>
          <w:b w:val="0"/>
          <w:bCs w:val="0"/>
          <w:sz w:val="32"/>
          <w:szCs w:val="32"/>
        </w:rPr>
        <w:t>第二节  持续增强粮食安全保障能力</w:t>
      </w:r>
      <w:bookmarkEnd w:id="309"/>
      <w:bookmarkEnd w:id="310"/>
      <w:bookmarkEnd w:id="311"/>
      <w:bookmarkEnd w:id="312"/>
      <w:bookmarkEnd w:id="313"/>
      <w:bookmarkEnd w:id="314"/>
      <w:bookmarkEnd w:id="315"/>
    </w:p>
    <w:p w14:paraId="2F8B577E">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牢记“食为政首”“粮安天下”，健全粮食安全保障体系，“藏粮于地，藏粮于技”。</w:t>
      </w:r>
      <w:r>
        <w:rPr>
          <w:rFonts w:hint="eastAsia" w:ascii="Times New Roman" w:hAnsi="Times New Roman" w:eastAsia="仿宋_GB2312" w:cs="Times New Roman"/>
          <w:sz w:val="32"/>
          <w:szCs w:val="32"/>
        </w:rPr>
        <w:t>坚持最严格的耕地保护制度，严格坚守耕地保护红线，坚决遏制耕地“非农化”、防止“非粮化”，规范耕地占补平衡。全面实施重要农产品保障战略，加快推进粮食生产功能区、重要农产品生产保护区建设，</w:t>
      </w:r>
      <w:r>
        <w:rPr>
          <w:rFonts w:hint="eastAsia" w:ascii="仿宋_GB2312" w:hAnsi="仿宋_GB2312" w:eastAsia="仿宋_GB2312" w:cs="仿宋_GB2312"/>
          <w:kern w:val="0"/>
          <w:sz w:val="32"/>
          <w:szCs w:val="32"/>
        </w:rPr>
        <w:t>开展中低产田改造、测土配方施肥、耕地质量提升、保护性耕作、农业面源污染和耕地质量监测5万亩次</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确保粮油等主要农作物种植面积不少于18万亩</w:t>
      </w:r>
      <w:r>
        <w:rPr>
          <w:rFonts w:hint="eastAsia" w:ascii="仿宋_GB2312" w:hAnsi="仿宋_GB2312" w:eastAsia="仿宋_GB2312" w:cs="仿宋_GB2312"/>
          <w:kern w:val="0"/>
          <w:sz w:val="32"/>
          <w:szCs w:val="32"/>
        </w:rPr>
        <w:t>。</w:t>
      </w:r>
      <w:r>
        <w:rPr>
          <w:rFonts w:hint="eastAsia" w:ascii="Times New Roman" w:hAnsi="Times New Roman" w:eastAsia="仿宋_GB2312" w:cs="Times New Roman"/>
          <w:sz w:val="32"/>
          <w:szCs w:val="32"/>
        </w:rPr>
        <w:t>大力发展次早熟蔬菜种植，持续推进高标准蔬菜保供基地建设，调优产品结构，促进蔬菜产业提质增效。以坝区建设为重点，推进以九庄镇、鹿窝镇、流长镇等为重点的油菜标准园建设；以鹿窝镇、流长镇、九庄镇、西山镇、小寨坝镇等区域为重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全力推进生态渔业</w:t>
      </w:r>
      <w:r>
        <w:rPr>
          <w:rFonts w:hint="eastAsia" w:ascii="Times New Roman" w:hAnsi="Times New Roman" w:eastAsia="仿宋_GB2312" w:cs="Times New Roman"/>
          <w:sz w:val="32"/>
          <w:szCs w:val="32"/>
          <w:lang w:eastAsia="zh-CN"/>
        </w:rPr>
        <w:t>发展</w:t>
      </w:r>
      <w:r>
        <w:rPr>
          <w:rFonts w:hint="eastAsia" w:ascii="Times New Roman" w:hAnsi="Times New Roman" w:eastAsia="仿宋_GB2312" w:cs="Times New Roman"/>
          <w:sz w:val="32"/>
          <w:szCs w:val="32"/>
        </w:rPr>
        <w:t>；以肉鸡园区为核心，抓好禽类精深加工项目建设；围绕生猪生产重点抓好标准化规范化养殖场建设，保障“粮袋子”“ 菜篮子”供给安全。加强农业农村重大突发事件应急管理，健全疫病风险预警机制，建设猪肉、粮食、果蔬等重要农产品综合监测网络。</w:t>
      </w:r>
    </w:p>
    <w:p w14:paraId="11B1FA86">
      <w:pPr>
        <w:spacing w:line="520" w:lineRule="exact"/>
        <w:jc w:val="center"/>
        <w:outlineLvl w:val="1"/>
        <w:rPr>
          <w:rFonts w:ascii="方正小标宋简体" w:hAnsi="方正小标宋简体" w:eastAsia="方正小标宋简体" w:cs="方正小标宋简体"/>
          <w:b/>
          <w:bCs/>
          <w:sz w:val="32"/>
          <w:szCs w:val="32"/>
        </w:rPr>
      </w:pPr>
      <w:bookmarkStart w:id="316" w:name="_Toc28462"/>
      <w:bookmarkStart w:id="317" w:name="_Toc61193804"/>
      <w:bookmarkStart w:id="318" w:name="_Toc15396"/>
      <w:bookmarkStart w:id="319" w:name="_Toc16542"/>
      <w:bookmarkStart w:id="320" w:name="_Toc3103"/>
      <w:bookmarkStart w:id="321" w:name="_Toc18878"/>
      <w:bookmarkStart w:id="322" w:name="_Toc6580"/>
      <w:r>
        <w:rPr>
          <w:rFonts w:hint="eastAsia" w:ascii="方正小标宋简体" w:hAnsi="方正小标宋简体" w:eastAsia="方正小标宋简体" w:cs="方正小标宋简体"/>
          <w:b w:val="0"/>
          <w:bCs w:val="0"/>
          <w:sz w:val="32"/>
          <w:szCs w:val="32"/>
        </w:rPr>
        <w:t>第三节  大力发展山地都市现代农业</w:t>
      </w:r>
      <w:bookmarkEnd w:id="316"/>
      <w:bookmarkEnd w:id="317"/>
      <w:bookmarkEnd w:id="318"/>
      <w:bookmarkEnd w:id="319"/>
      <w:bookmarkEnd w:id="320"/>
      <w:bookmarkEnd w:id="321"/>
      <w:bookmarkEnd w:id="322"/>
    </w:p>
    <w:p w14:paraId="603D79B8">
      <w:pPr>
        <w:tabs>
          <w:tab w:val="left" w:pos="1440"/>
        </w:tabs>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要基于贵阳市打造大能级城市的契机，紧紧围绕服务城市、富裕农民做文章，围绕“推动农业产业由全面覆盖向提档升级转变”，</w:t>
      </w:r>
      <w:r>
        <w:rPr>
          <w:rFonts w:hint="eastAsia" w:ascii="Times New Roman" w:hAnsi="Times New Roman" w:eastAsia="仿宋_GB2312" w:cs="Times New Roman"/>
          <w:sz w:val="32"/>
          <w:szCs w:val="32"/>
        </w:rPr>
        <w:t>聚焦农业高质量发展和绿色发展导向，大力推广“龙头企业+合作社+农户”组织方式，紧盯利益联结和产销对接，把地方土特产和小品种做成农民增收的大产业。打造“一镇一品”的现代农业产业强镇、产业园区、农业现代化示范区和优势特色产业集群。坚持“农头工尾”，加快推进息烽农特产品园区规划建设，完善农产品仓储保鲜冷链物流等基础设施，打造黔中农产品加工聚集区，实现种植、养殖、加工、销售融合发展，以全产业链建设提升农业竞争力。</w:t>
      </w:r>
      <w:r>
        <w:rPr>
          <w:rFonts w:hint="eastAsia" w:ascii="仿宋_GB2312" w:hAnsi="仿宋_GB2312" w:eastAsia="仿宋_GB2312" w:cs="仿宋_GB2312"/>
          <w:sz w:val="32"/>
          <w:szCs w:val="32"/>
        </w:rPr>
        <w:t>到2025年，农业科技进步贡献率60%，每公顷农业土地产出率5.7万元，每人农业劳动生产率2.7万元，农产品加工业产值与农业总产值比为1.8，坝区平均亩产值8000元。</w:t>
      </w:r>
    </w:p>
    <w:p w14:paraId="31093497">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发展壮大特色优势产业</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以市场为导向，围绕“</w:t>
      </w:r>
      <w:r>
        <w:rPr>
          <w:rFonts w:ascii="仿宋_GB2312" w:hAnsi="仿宋_GB2312" w:eastAsia="仿宋_GB2312" w:cs="仿宋_GB2312"/>
          <w:sz w:val="32"/>
          <w:szCs w:val="32"/>
        </w:rPr>
        <w:t>3+N”</w:t>
      </w:r>
      <w:r>
        <w:rPr>
          <w:rFonts w:hint="eastAsia" w:ascii="仿宋_GB2312" w:hAnsi="仿宋_GB2312" w:eastAsia="仿宋_GB2312" w:cs="仿宋_GB2312"/>
          <w:sz w:val="32"/>
          <w:szCs w:val="32"/>
        </w:rPr>
        <w:t>、聚焦“3+2”</w:t>
      </w:r>
      <w:r>
        <w:rPr>
          <w:rFonts w:ascii="仿宋_GB2312" w:hAnsi="仿宋_GB2312" w:eastAsia="仿宋_GB2312" w:cs="仿宋_GB2312"/>
          <w:sz w:val="32"/>
          <w:szCs w:val="32"/>
        </w:rPr>
        <w:t>主导产业</w:t>
      </w:r>
      <w:r>
        <w:rPr>
          <w:rFonts w:hint="eastAsia" w:ascii="仿宋_GB2312" w:hAnsi="仿宋_GB2312" w:eastAsia="仿宋_GB2312" w:cs="仿宋_GB2312"/>
          <w:sz w:val="32"/>
          <w:szCs w:val="32"/>
        </w:rPr>
        <w:t>，引导农业种植向“多元化”转变，由“种得好”向“卖得好”转变。</w:t>
      </w:r>
      <w:r>
        <w:rPr>
          <w:rFonts w:ascii="仿宋_GB2312" w:hAnsi="仿宋_GB2312" w:eastAsia="仿宋_GB2312" w:cs="仿宋_GB2312"/>
          <w:sz w:val="32"/>
          <w:szCs w:val="32"/>
        </w:rPr>
        <w:t>紧盯全县12个已出列贫困村、坝区和“四个全覆盖”区域，提质升级改造</w:t>
      </w:r>
      <w:r>
        <w:rPr>
          <w:rFonts w:hint="eastAsia" w:ascii="仿宋_GB2312" w:hAnsi="仿宋_GB2312" w:eastAsia="仿宋_GB2312" w:cs="仿宋_GB2312"/>
          <w:sz w:val="32"/>
          <w:szCs w:val="32"/>
        </w:rPr>
        <w:t>葡萄、吊瓜复种、刺梨、猕猴桃、李子种植等5个万亩标准园。</w:t>
      </w:r>
      <w:r>
        <w:rPr>
          <w:rFonts w:ascii="仿宋_GB2312" w:hAnsi="仿宋_GB2312" w:eastAsia="仿宋_GB2312" w:cs="仿宋_GB2312"/>
          <w:sz w:val="32"/>
          <w:szCs w:val="32"/>
        </w:rPr>
        <w:t>因地制宜发展菊花、艾草、百香果、花椒、柑桔、八月瓜</w:t>
      </w:r>
      <w:r>
        <w:rPr>
          <w:rFonts w:hint="eastAsia" w:ascii="仿宋_GB2312" w:hAnsi="仿宋_GB2312" w:eastAsia="仿宋_GB2312" w:cs="仿宋_GB2312"/>
          <w:sz w:val="32"/>
          <w:szCs w:val="32"/>
        </w:rPr>
        <w:t>、枇杷</w:t>
      </w:r>
      <w:r>
        <w:rPr>
          <w:rFonts w:ascii="仿宋_GB2312" w:hAnsi="仿宋_GB2312" w:eastAsia="仿宋_GB2312" w:cs="仿宋_GB2312"/>
          <w:sz w:val="32"/>
          <w:szCs w:val="32"/>
        </w:rPr>
        <w:t>等特色</w:t>
      </w:r>
      <w:r>
        <w:rPr>
          <w:rFonts w:hint="eastAsia" w:ascii="仿宋_GB2312" w:hAnsi="仿宋_GB2312" w:eastAsia="仿宋_GB2312" w:cs="仿宋_GB2312"/>
          <w:sz w:val="32"/>
          <w:szCs w:val="32"/>
        </w:rPr>
        <w:t>产业。在流长、九庄等乡镇建成高标准基本烟田2.64万亩。大力发展林业经济，培育发展虫茶、中草药、食用菌等特色健康农业。</w:t>
      </w:r>
    </w:p>
    <w:p w14:paraId="2DD34EEC">
      <w:pPr>
        <w:spacing w:line="560" w:lineRule="exact"/>
        <w:ind w:firstLine="640"/>
        <w:rPr>
          <w:rFonts w:ascii="仿宋_GB2312" w:hAnsi="仿宋_GB2312" w:eastAsia="仿宋_GB2312" w:cs="仿宋_GB2312"/>
          <w:kern w:val="0"/>
          <w:sz w:val="32"/>
          <w:szCs w:val="32"/>
        </w:rPr>
      </w:pPr>
      <w:r>
        <w:rPr>
          <w:rFonts w:hint="eastAsia" w:ascii="黑体" w:hAnsi="黑体" w:eastAsia="黑体"/>
          <w:b/>
          <w:bCs/>
          <w:sz w:val="32"/>
          <w:szCs w:val="32"/>
        </w:rPr>
        <w:t>推进养殖业规模化发展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持续推进肉鸡、生猪、生态渔业发展。</w:t>
      </w:r>
      <w:r>
        <w:rPr>
          <w:rFonts w:hint="eastAsia" w:ascii="仿宋_GB2312" w:hAnsi="仿宋_GB2312" w:eastAsia="仿宋_GB2312" w:cs="仿宋_GB2312"/>
          <w:kern w:val="0"/>
          <w:sz w:val="32"/>
          <w:szCs w:val="32"/>
        </w:rPr>
        <w:t>提质增效肉鸡产业，以息烽德康家禽养殖有限公司为龙头，完成饲料厂、</w:t>
      </w:r>
      <w:r>
        <w:rPr>
          <w:rFonts w:ascii="仿宋_GB2312" w:hAnsi="仿宋_GB2312" w:eastAsia="仿宋_GB2312" w:cs="仿宋_GB2312"/>
          <w:kern w:val="0"/>
          <w:sz w:val="32"/>
          <w:szCs w:val="32"/>
        </w:rPr>
        <w:t>40万套父母代种鸡场和屠宰加工厂建设，继续按照“公司+家庭牧场（农户）”模式带动农户发展肉鸡养殖，期末出栏达</w:t>
      </w:r>
      <w:r>
        <w:rPr>
          <w:rFonts w:hint="eastAsia" w:ascii="仿宋_GB2312" w:hAnsi="仿宋_GB2312" w:eastAsia="仿宋_GB2312" w:cs="仿宋_GB2312"/>
          <w:kern w:val="0"/>
          <w:sz w:val="32"/>
          <w:szCs w:val="32"/>
        </w:rPr>
        <w:t>2000</w:t>
      </w:r>
      <w:r>
        <w:rPr>
          <w:rFonts w:ascii="仿宋_GB2312" w:hAnsi="仿宋_GB2312" w:eastAsia="仿宋_GB2312" w:cs="仿宋_GB2312"/>
          <w:kern w:val="0"/>
          <w:sz w:val="32"/>
          <w:szCs w:val="32"/>
        </w:rPr>
        <w:t>万羽。推进生猪产业发展</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以贵州正大农牧食品有限公司为依托，建成种猪场2个和年出栏2200头生猪标准化</w:t>
      </w:r>
      <w:r>
        <w:rPr>
          <w:rFonts w:hint="eastAsia" w:ascii="仿宋_GB2312" w:hAnsi="仿宋_GB2312" w:eastAsia="仿宋_GB2312" w:cs="仿宋_GB2312"/>
          <w:kern w:val="0"/>
          <w:sz w:val="32"/>
          <w:szCs w:val="32"/>
        </w:rPr>
        <w:t>养殖小区50个</w:t>
      </w:r>
      <w:r>
        <w:rPr>
          <w:rFonts w:ascii="仿宋_GB2312" w:hAnsi="仿宋_GB2312" w:eastAsia="仿宋_GB2312" w:cs="仿宋_GB2312"/>
          <w:kern w:val="0"/>
          <w:sz w:val="32"/>
          <w:szCs w:val="32"/>
        </w:rPr>
        <w:t>，</w:t>
      </w:r>
      <w:r>
        <w:rPr>
          <w:rFonts w:ascii="仿宋_GB2312" w:hAnsi="仿宋_GB2312" w:eastAsia="仿宋_GB2312" w:cs="仿宋_GB2312"/>
          <w:color w:val="000000"/>
          <w:kern w:val="0"/>
          <w:sz w:val="32"/>
          <w:szCs w:val="32"/>
        </w:rPr>
        <w:t>新增生猪出栏12万头，</w:t>
      </w:r>
      <w:r>
        <w:rPr>
          <w:rFonts w:ascii="仿宋_GB2312" w:hAnsi="仿宋_GB2312" w:eastAsia="仿宋_GB2312" w:cs="仿宋_GB2312"/>
          <w:kern w:val="0"/>
          <w:sz w:val="32"/>
          <w:szCs w:val="32"/>
        </w:rPr>
        <w:t>期末生猪出栏达18万头。</w:t>
      </w:r>
      <w:r>
        <w:rPr>
          <w:rFonts w:hint="eastAsia" w:ascii="仿宋_GB2312" w:hAnsi="仿宋_GB2312" w:eastAsia="仿宋_GB2312" w:cs="仿宋_GB2312"/>
          <w:color w:val="000000"/>
          <w:kern w:val="0"/>
          <w:sz w:val="32"/>
          <w:szCs w:val="32"/>
        </w:rPr>
        <w:t>大力发展生态渔业、稻田综合种养、休闲渔业，</w:t>
      </w:r>
      <w:r>
        <w:rPr>
          <w:rFonts w:ascii="仿宋_GB2312" w:hAnsi="仿宋_GB2312" w:eastAsia="仿宋_GB2312" w:cs="仿宋_GB2312"/>
          <w:kern w:val="0"/>
          <w:sz w:val="32"/>
          <w:szCs w:val="32"/>
        </w:rPr>
        <w:t>完成生态渔业养殖及休闲渔业规模达6000亩，期末实现</w:t>
      </w:r>
      <w:r>
        <w:rPr>
          <w:rFonts w:hint="eastAsia" w:ascii="仿宋_GB2312" w:hAnsi="仿宋_GB2312" w:eastAsia="仿宋_GB2312" w:cs="仿宋_GB2312"/>
          <w:kern w:val="0"/>
          <w:sz w:val="32"/>
          <w:szCs w:val="32"/>
        </w:rPr>
        <w:t>水产品</w:t>
      </w:r>
      <w:r>
        <w:rPr>
          <w:rFonts w:ascii="仿宋_GB2312" w:hAnsi="仿宋_GB2312" w:eastAsia="仿宋_GB2312" w:cs="仿宋_GB2312"/>
          <w:kern w:val="0"/>
          <w:sz w:val="32"/>
          <w:szCs w:val="32"/>
        </w:rPr>
        <w:t>产量达</w:t>
      </w:r>
      <w:r>
        <w:rPr>
          <w:rFonts w:hint="eastAsia" w:ascii="仿宋_GB2312" w:hAnsi="仿宋_GB2312" w:eastAsia="仿宋_GB2312" w:cs="仿宋_GB2312"/>
          <w:kern w:val="0"/>
          <w:sz w:val="32"/>
          <w:szCs w:val="32"/>
        </w:rPr>
        <w:t>3000</w:t>
      </w:r>
      <w:r>
        <w:rPr>
          <w:rFonts w:ascii="仿宋_GB2312" w:hAnsi="仿宋_GB2312" w:eastAsia="仿宋_GB2312" w:cs="仿宋_GB2312"/>
          <w:kern w:val="0"/>
          <w:sz w:val="32"/>
          <w:szCs w:val="32"/>
        </w:rPr>
        <w:t>吨。加强粪污综合利用</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推进规模化养殖场环保设施配套</w:t>
      </w:r>
      <w:r>
        <w:rPr>
          <w:rFonts w:hint="eastAsia" w:ascii="仿宋_GB2312" w:hAnsi="仿宋_GB2312" w:eastAsia="仿宋_GB2312" w:cs="仿宋_GB2312"/>
          <w:kern w:val="0"/>
          <w:sz w:val="32"/>
          <w:szCs w:val="32"/>
        </w:rPr>
        <w:t>建设，实现畜禽粪污综合利用率达</w:t>
      </w:r>
      <w:r>
        <w:rPr>
          <w:rFonts w:ascii="仿宋_GB2312" w:hAnsi="仿宋_GB2312" w:eastAsia="仿宋_GB2312" w:cs="仿宋_GB2312"/>
          <w:kern w:val="0"/>
          <w:sz w:val="32"/>
          <w:szCs w:val="32"/>
        </w:rPr>
        <w:t>86%。</w:t>
      </w:r>
    </w:p>
    <w:p w14:paraId="5E89056B">
      <w:pPr>
        <w:spacing w:line="560" w:lineRule="exact"/>
        <w:ind w:firstLine="640"/>
        <w:rPr>
          <w:rFonts w:ascii="仿宋_GB2312" w:hAnsi="仿宋_GB2312" w:eastAsia="仿宋_GB2312" w:cs="仿宋_GB2312"/>
          <w:kern w:val="0"/>
          <w:sz w:val="32"/>
          <w:szCs w:val="32"/>
        </w:rPr>
      </w:pPr>
      <w:r>
        <w:rPr>
          <w:rFonts w:hint="eastAsia" w:ascii="黑体" w:hAnsi="黑体" w:eastAsia="黑体"/>
          <w:b/>
          <w:bCs/>
          <w:sz w:val="32"/>
          <w:szCs w:val="32"/>
        </w:rPr>
        <w:t>建设农产品加工园区</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推动农村一二三产业融合发展，以肉鸡屠宰加工、刺梨深加工、果酒生产等项目为支撑，加大引进培育力度，开发葡萄、吊瓜、中药材、生猪等名特优新农产品，构建集生产、加工、科研、开发、销售为一体循环的农产品精深加工产业，形成产销深度融合的黔中农产品加工集聚区。到</w:t>
      </w:r>
      <w:r>
        <w:rPr>
          <w:rFonts w:ascii="仿宋_GB2312" w:hAnsi="仿宋_GB2312" w:eastAsia="仿宋_GB2312" w:cs="仿宋_GB2312"/>
          <w:kern w:val="0"/>
          <w:sz w:val="32"/>
          <w:szCs w:val="32"/>
        </w:rPr>
        <w:t>2025年，建立县级农产品加工园1个，引进有实力的加工企业5家以上，</w:t>
      </w:r>
      <w:r>
        <w:rPr>
          <w:rFonts w:hint="eastAsia" w:ascii="仿宋_GB2312" w:hAnsi="仿宋_GB2312" w:eastAsia="仿宋_GB2312" w:cs="仿宋_GB2312"/>
          <w:kern w:val="0"/>
          <w:sz w:val="32"/>
          <w:szCs w:val="32"/>
        </w:rPr>
        <w:t>培育县级以上种养殖及加工龙头企业50家以上，</w:t>
      </w:r>
      <w:r>
        <w:rPr>
          <w:rFonts w:ascii="仿宋_GB2312" w:hAnsi="仿宋_GB2312" w:eastAsia="仿宋_GB2312" w:cs="仿宋_GB2312"/>
          <w:kern w:val="0"/>
          <w:sz w:val="32"/>
          <w:szCs w:val="32"/>
        </w:rPr>
        <w:t xml:space="preserve"> 1个以上深加工食品通过</w:t>
      </w:r>
      <w:r>
        <w:rPr>
          <w:rFonts w:hint="eastAsia" w:ascii="仿宋_GB2312" w:hAnsi="仿宋_GB2312" w:eastAsia="仿宋_GB2312" w:cs="仿宋_GB2312"/>
          <w:kern w:val="0"/>
          <w:sz w:val="32"/>
          <w:szCs w:val="32"/>
        </w:rPr>
        <w:t>食品</w:t>
      </w:r>
      <w:r>
        <w:rPr>
          <w:rFonts w:ascii="仿宋_GB2312" w:hAnsi="仿宋_GB2312" w:eastAsia="仿宋_GB2312" w:cs="仿宋_GB2312"/>
          <w:kern w:val="0"/>
          <w:sz w:val="32"/>
          <w:szCs w:val="32"/>
        </w:rPr>
        <w:t>安全（S</w:t>
      </w:r>
      <w:r>
        <w:rPr>
          <w:rFonts w:hint="eastAsia" w:ascii="仿宋_GB2312" w:hAnsi="仿宋_GB2312" w:eastAsia="仿宋_GB2312" w:cs="仿宋_GB2312"/>
          <w:kern w:val="0"/>
          <w:sz w:val="32"/>
          <w:szCs w:val="32"/>
        </w:rPr>
        <w:t>C</w:t>
      </w:r>
      <w:r>
        <w:rPr>
          <w:rFonts w:ascii="仿宋_GB2312" w:hAnsi="仿宋_GB2312" w:eastAsia="仿宋_GB2312" w:cs="仿宋_GB2312"/>
          <w:kern w:val="0"/>
          <w:sz w:val="32"/>
          <w:szCs w:val="32"/>
        </w:rPr>
        <w:t>）和质量安全管理体系（ISO）认证</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农产品加工转化率达</w:t>
      </w:r>
      <w:r>
        <w:rPr>
          <w:rFonts w:hint="eastAsia" w:ascii="仿宋_GB2312" w:hAnsi="仿宋_GB2312" w:eastAsia="仿宋_GB2312" w:cs="仿宋_GB2312"/>
          <w:kern w:val="0"/>
          <w:sz w:val="32"/>
          <w:szCs w:val="32"/>
        </w:rPr>
        <w:t>70</w:t>
      </w:r>
      <w:r>
        <w:rPr>
          <w:rFonts w:ascii="仿宋_GB2312" w:hAnsi="仿宋_GB2312" w:eastAsia="仿宋_GB2312" w:cs="仿宋_GB2312"/>
          <w:kern w:val="0"/>
          <w:sz w:val="32"/>
          <w:szCs w:val="32"/>
        </w:rPr>
        <w:t>%以上。</w:t>
      </w:r>
    </w:p>
    <w:p w14:paraId="484937BA">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创新绿色农产品品牌。</w:t>
      </w:r>
      <w:r>
        <w:rPr>
          <w:rFonts w:hint="eastAsia" w:ascii="仿宋_GB2312" w:hAnsi="仿宋_GB2312" w:eastAsia="仿宋_GB2312" w:cs="仿宋_GB2312"/>
          <w:sz w:val="32"/>
          <w:szCs w:val="32"/>
        </w:rPr>
        <w:t>提高标准化、规模化、品牌化三化水平，提升农产品竞争力和影响力。规范应用种植、养殖业、加工产品标准化生产技术规程，规范溯源数字管理，积极开展绿色食品、有机食品和农产品地理标志保护产品认证，形成品牌化农特产品生产基地，打造产、加、销利益共同体。建成猕天大圣、黄南武辣子鸡等13个省级名特优新农产品基地,完成绿色食品、有机食品认定30个，着力打造5个区域公共品牌、3个市级品牌、1个省级品牌，新增国家农产品地理标志保护产品2个。</w:t>
      </w:r>
    </w:p>
    <w:p w14:paraId="3E056BBF">
      <w:pPr>
        <w:pStyle w:val="10"/>
      </w:pPr>
    </w:p>
    <w:p w14:paraId="13478751">
      <w:pPr>
        <w:pStyle w:val="2"/>
        <w:jc w:val="center"/>
        <w:outlineLvl w:val="1"/>
        <w:rPr>
          <w:rFonts w:ascii="方正小标宋简体" w:hAnsi="方正小标宋简体" w:eastAsia="方正小标宋简体" w:cs="方正小标宋简体"/>
          <w:b w:val="0"/>
          <w:bCs w:val="0"/>
          <w:sz w:val="32"/>
          <w:szCs w:val="32"/>
        </w:rPr>
      </w:pPr>
      <w:bookmarkStart w:id="323" w:name="_Toc22826"/>
      <w:bookmarkStart w:id="324" w:name="_Toc22654"/>
      <w:bookmarkStart w:id="325" w:name="_Toc26261"/>
      <w:bookmarkStart w:id="326" w:name="_Toc11874"/>
      <w:bookmarkStart w:id="327" w:name="_Toc61193805"/>
      <w:bookmarkStart w:id="328" w:name="_Toc13467"/>
      <w:bookmarkStart w:id="329" w:name="_Toc11423"/>
      <w:r>
        <w:rPr>
          <w:rFonts w:hint="eastAsia" w:ascii="方正小标宋简体" w:hAnsi="方正小标宋简体" w:eastAsia="方正小标宋简体" w:cs="方正小标宋简体"/>
          <w:b w:val="0"/>
          <w:bCs w:val="0"/>
          <w:sz w:val="32"/>
          <w:szCs w:val="32"/>
        </w:rPr>
        <w:t>第四节  持续深化农村改革</w:t>
      </w:r>
      <w:bookmarkEnd w:id="323"/>
      <w:bookmarkEnd w:id="324"/>
      <w:bookmarkEnd w:id="325"/>
      <w:bookmarkEnd w:id="326"/>
      <w:bookmarkEnd w:id="327"/>
      <w:bookmarkEnd w:id="328"/>
      <w:bookmarkEnd w:id="329"/>
    </w:p>
    <w:p w14:paraId="76B50F68">
      <w:pPr>
        <w:pStyle w:val="2"/>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深入推进农村“三变”改革、农村产权制度改革，探索创新农村“三资”融资改革，切实提高农村要素资源配置和利用效率，</w:t>
      </w:r>
      <w:r>
        <w:rPr>
          <w:rFonts w:hint="eastAsia" w:ascii="仿宋_GB2312" w:hAnsi="仿宋_GB2312" w:eastAsia="仿宋_GB2312" w:cs="仿宋_GB2312"/>
          <w:sz w:val="32"/>
          <w:szCs w:val="32"/>
        </w:rPr>
        <w:t>全面推广产业发展联股联利、联股联心、联产联业融合发展。</w:t>
      </w:r>
      <w:r>
        <w:rPr>
          <w:rFonts w:hint="eastAsia" w:ascii="Times New Roman" w:hAnsi="Times New Roman" w:eastAsia="仿宋_GB2312" w:cs="Times New Roman"/>
          <w:sz w:val="32"/>
          <w:szCs w:val="32"/>
        </w:rPr>
        <w:t>全力推广“六权共享”等基层社会治理模式，指导鼓励村集体、农户以多元形式入股企业发展，推动龙头企业、合作社、农民围绕产业发展，构建多方共赢的利益联结共同体</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highlight w:val="none"/>
        </w:rPr>
        <w:t>抓好</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rPr>
        <w:t>二轮</w:t>
      </w:r>
      <w:r>
        <w:rPr>
          <w:rFonts w:hint="eastAsia" w:ascii="仿宋_GB2312" w:hAnsi="仿宋_GB2312" w:eastAsia="仿宋_GB2312" w:cs="仿宋_GB2312"/>
          <w:color w:val="auto"/>
          <w:sz w:val="32"/>
          <w:szCs w:val="32"/>
          <w:highlight w:val="none"/>
          <w:lang w:eastAsia="zh-CN"/>
        </w:rPr>
        <w:t>土地</w:t>
      </w:r>
      <w:r>
        <w:rPr>
          <w:rFonts w:hint="eastAsia" w:ascii="仿宋_GB2312" w:hAnsi="仿宋_GB2312" w:eastAsia="仿宋_GB2312" w:cs="仿宋_GB2312"/>
          <w:color w:val="auto"/>
          <w:sz w:val="32"/>
          <w:szCs w:val="32"/>
          <w:highlight w:val="none"/>
        </w:rPr>
        <w:t>承包到期后再延长30年</w:t>
      </w:r>
      <w:r>
        <w:rPr>
          <w:rFonts w:hint="eastAsia" w:ascii="仿宋_GB2312" w:hAnsi="仿宋_GB2312" w:eastAsia="仿宋_GB2312" w:cs="仿宋_GB2312"/>
          <w:color w:val="auto"/>
          <w:sz w:val="32"/>
          <w:szCs w:val="32"/>
          <w:highlight w:val="none"/>
          <w:lang w:eastAsia="zh-CN"/>
        </w:rPr>
        <w:t>先行试点</w:t>
      </w:r>
      <w:r>
        <w:rPr>
          <w:rFonts w:hint="eastAsia" w:ascii="仿宋_GB2312" w:hAnsi="仿宋_GB2312" w:eastAsia="仿宋_GB2312" w:cs="仿宋_GB2312"/>
          <w:color w:val="auto"/>
          <w:sz w:val="32"/>
          <w:szCs w:val="32"/>
        </w:rPr>
        <w:t>、全国农村宅基地制度改革和全省农村集体建设用地入市试点等工作</w:t>
      </w:r>
      <w:r>
        <w:rPr>
          <w:rFonts w:hint="eastAsia" w:ascii="Times New Roman" w:hAnsi="Times New Roman" w:eastAsia="仿宋_GB2312" w:cs="Times New Roman"/>
          <w:color w:val="auto"/>
          <w:sz w:val="32"/>
          <w:szCs w:val="32"/>
        </w:rPr>
        <w:t>。创新农业经营组织方</w:t>
      </w:r>
      <w:r>
        <w:rPr>
          <w:rFonts w:hint="eastAsia" w:ascii="Times New Roman" w:hAnsi="Times New Roman" w:eastAsia="仿宋_GB2312" w:cs="Times New Roman"/>
          <w:sz w:val="32"/>
          <w:szCs w:val="32"/>
        </w:rPr>
        <w:t>式，在坚持家庭经营基础上发展多种形式适度规模经营，加快培育农民合作社、家庭农场等新型农业经营主体，健全农业专业化社会化服务体系，促进小农户和现代农业发展有机衔接。稳妥推进农村乱占耕地建房整治。加快推进供销社改革，积极推动供销社与县属平台公司合作，组建技术、劳务服务团队，推行农资经营“技物结合”。</w:t>
      </w:r>
    </w:p>
    <w:p w14:paraId="6A11FCCD">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14:paraId="576A375C">
      <w:pPr>
        <w:adjustRightInd w:val="0"/>
        <w:snapToGrid w:val="0"/>
        <w:spacing w:line="520" w:lineRule="exact"/>
        <w:jc w:val="center"/>
        <w:outlineLvl w:val="1"/>
        <w:rPr>
          <w:rFonts w:ascii="方正小标宋简体" w:hAnsi="方正小标宋简体" w:eastAsia="方正小标宋简体" w:cs="方正小标宋简体"/>
          <w:b w:val="0"/>
          <w:bCs w:val="0"/>
          <w:sz w:val="32"/>
          <w:szCs w:val="32"/>
        </w:rPr>
      </w:pPr>
      <w:bookmarkStart w:id="330" w:name="_Toc19757"/>
      <w:bookmarkStart w:id="331" w:name="_Toc10658"/>
      <w:bookmarkStart w:id="332" w:name="_Toc17656"/>
      <w:bookmarkStart w:id="333" w:name="_Toc8724"/>
      <w:bookmarkStart w:id="334" w:name="_Toc61193806"/>
      <w:bookmarkStart w:id="335" w:name="_Toc23420"/>
      <w:bookmarkStart w:id="336" w:name="_Toc29436"/>
      <w:r>
        <w:rPr>
          <w:rFonts w:hint="eastAsia" w:ascii="方正小标宋简体" w:hAnsi="方正小标宋简体" w:eastAsia="方正小标宋简体" w:cs="方正小标宋简体"/>
          <w:b w:val="0"/>
          <w:bCs w:val="0"/>
          <w:sz w:val="32"/>
          <w:szCs w:val="32"/>
        </w:rPr>
        <w:t>第五节  推动巩固拓展脱贫攻坚成果同乡村振兴有效衔接</w:t>
      </w:r>
      <w:bookmarkEnd w:id="330"/>
      <w:bookmarkEnd w:id="331"/>
      <w:bookmarkEnd w:id="332"/>
      <w:bookmarkEnd w:id="333"/>
      <w:bookmarkEnd w:id="334"/>
      <w:bookmarkEnd w:id="335"/>
      <w:bookmarkEnd w:id="336"/>
    </w:p>
    <w:p w14:paraId="56FB3C7C">
      <w:pPr>
        <w:adjustRightInd w:val="0"/>
        <w:snapToGrid w:val="0"/>
        <w:spacing w:line="520" w:lineRule="exact"/>
        <w:rPr>
          <w:rFonts w:hint="eastAsia" w:ascii="黑体" w:hAnsi="黑体" w:eastAsia="黑体"/>
          <w:b/>
          <w:bCs/>
          <w:sz w:val="32"/>
          <w:szCs w:val="32"/>
        </w:rPr>
      </w:pPr>
      <w:r>
        <w:rPr>
          <w:rFonts w:hint="eastAsia" w:ascii="Times New Roman" w:hAnsi="Times New Roman" w:eastAsia="仿宋_GB2312" w:cs="Times New Roman"/>
          <w:sz w:val="32"/>
          <w:szCs w:val="32"/>
        </w:rPr>
        <w:t xml:space="preserve">   </w:t>
      </w:r>
    </w:p>
    <w:p w14:paraId="7BD24B3D">
      <w:pPr>
        <w:adjustRightInd w:val="0"/>
        <w:snapToGrid w:val="0"/>
        <w:spacing w:line="520" w:lineRule="exact"/>
        <w:ind w:firstLine="643" w:firstLineChars="200"/>
        <w:rPr>
          <w:rFonts w:ascii="Times New Roman" w:hAnsi="Times New Roman" w:eastAsia="仿宋_GB2312" w:cs="Times New Roman"/>
          <w:kern w:val="0"/>
          <w:sz w:val="32"/>
          <w:szCs w:val="32"/>
        </w:rPr>
      </w:pPr>
      <w:r>
        <w:rPr>
          <w:rFonts w:hint="eastAsia" w:ascii="黑体" w:hAnsi="黑体" w:eastAsia="黑体"/>
          <w:b/>
          <w:bCs/>
          <w:sz w:val="32"/>
          <w:szCs w:val="32"/>
        </w:rPr>
        <w:t>巩固拓展脱贫攻坚成果。</w:t>
      </w:r>
      <w:r>
        <w:rPr>
          <w:rFonts w:hint="eastAsia" w:ascii="仿宋_GB2312" w:hAnsi="仿宋_GB2312" w:eastAsia="仿宋_GB2312" w:cs="仿宋_GB2312"/>
          <w:b w:val="0"/>
          <w:bCs w:val="0"/>
          <w:sz w:val="32"/>
          <w:szCs w:val="32"/>
          <w:lang w:eastAsia="zh-CN"/>
        </w:rPr>
        <w:t>要围绕“推动巩固脱贫攻坚成果向增强内生动力转变”，</w:t>
      </w:r>
      <w:r>
        <w:rPr>
          <w:rFonts w:hint="eastAsia" w:ascii="仿宋_GB2312" w:hAnsi="仿宋_GB2312" w:eastAsia="仿宋_GB2312" w:cs="仿宋_GB2312"/>
          <w:sz w:val="32"/>
          <w:szCs w:val="32"/>
        </w:rPr>
        <w:t>严</w:t>
      </w:r>
      <w:r>
        <w:rPr>
          <w:rFonts w:hint="eastAsia" w:ascii="Times New Roman" w:hAnsi="Times New Roman" w:eastAsia="仿宋_GB2312" w:cs="Times New Roman"/>
          <w:sz w:val="32"/>
          <w:szCs w:val="32"/>
        </w:rPr>
        <w:t>格落实“四个不摘”，保持帮扶措施、投入机制总体稳定。建设面向困难群众的救助平台，建立健全简便、快速、精准的防止返贫监测和帮扶机制，对脱贫不稳定户、边缘易致贫户开展常态化监测预警。持续发展壮大扶贫产业，建立产业帮扶全覆盖机制，注重扶贫产业长期培育，继续做好脱贫群众就业帮扶工作，更好支撑稳定脱贫。深入实施“共筑行动”，强化易地扶贫搬迁后续扶持“五个体系”建设，确保搬迁群众稳得住、有就业、逐步能致富。强化农村社会保障和救助，健全农村低收入人口分类帮扶机制，实现应保尽保、应兜尽兜，全力做好普惠性、基础性、兜底性民生建设。</w:t>
      </w:r>
      <w:r>
        <w:rPr>
          <w:rFonts w:hint="eastAsia" w:ascii="Times New Roman" w:hAnsi="Times New Roman" w:eastAsia="仿宋_GB2312" w:cs="Times New Roman"/>
          <w:kern w:val="0"/>
          <w:sz w:val="32"/>
          <w:szCs w:val="32"/>
        </w:rPr>
        <w:t>大力实施“新乡贤回归工程”，重点加大对优秀专家、科技人员、农业农村管理人员等培育，鼓励返乡人员创业发展。</w:t>
      </w:r>
    </w:p>
    <w:p w14:paraId="3333F386">
      <w:pPr>
        <w:spacing w:line="560" w:lineRule="exact"/>
        <w:ind w:firstLine="643" w:firstLineChars="200"/>
        <w:rPr>
          <w:rFonts w:hint="eastAsia" w:ascii="仿宋_GB2312" w:hAnsi="仿宋_GB2312" w:eastAsia="仿宋_GB2312" w:cs="仿宋_GB2312"/>
          <w:kern w:val="0"/>
          <w:sz w:val="32"/>
          <w:szCs w:val="32"/>
        </w:rPr>
      </w:pPr>
      <w:r>
        <w:rPr>
          <w:rFonts w:hint="eastAsia" w:ascii="黑体" w:hAnsi="黑体" w:eastAsia="黑体"/>
          <w:b/>
          <w:bCs/>
          <w:sz w:val="32"/>
          <w:szCs w:val="32"/>
        </w:rPr>
        <w:t>建设生态宜居美丽乡村。</w:t>
      </w:r>
      <w:r>
        <w:rPr>
          <w:rFonts w:hint="eastAsia" w:ascii="仿宋_GB2312" w:hAnsi="仿宋_GB2312" w:eastAsia="仿宋_GB2312" w:cs="仿宋_GB2312"/>
          <w:kern w:val="0"/>
          <w:sz w:val="32"/>
          <w:szCs w:val="32"/>
        </w:rPr>
        <w:t>把乡村建设摆在城乡融合发展的重要位置。以设施便捷完善、村容村貌整洁、山绿水清景美、</w:t>
      </w:r>
      <w:r>
        <w:rPr>
          <w:rFonts w:hint="eastAsia" w:ascii="仿宋_GB2312" w:hAnsi="仿宋_GB2312" w:eastAsia="仿宋_GB2312" w:cs="仿宋_GB2312"/>
          <w:sz w:val="32"/>
          <w:szCs w:val="32"/>
        </w:rPr>
        <w:t>宜居宜业宜游</w:t>
      </w:r>
      <w:r>
        <w:rPr>
          <w:rFonts w:hint="eastAsia" w:ascii="仿宋_GB2312" w:hAnsi="仿宋_GB2312" w:eastAsia="仿宋_GB2312" w:cs="仿宋_GB2312"/>
          <w:kern w:val="0"/>
          <w:sz w:val="32"/>
          <w:szCs w:val="32"/>
        </w:rPr>
        <w:t>、人与自然和谐共生的生态宜居乡村为方向</w:t>
      </w:r>
      <w:r>
        <w:rPr>
          <w:rFonts w:ascii="仿宋_GB2312" w:hAnsi="仿宋_GB2312" w:eastAsia="仿宋_GB2312" w:cs="仿宋_GB2312"/>
          <w:sz w:val="32"/>
          <w:szCs w:val="32"/>
        </w:rPr>
        <w:t>。</w:t>
      </w:r>
      <w:r>
        <w:rPr>
          <w:rFonts w:hint="eastAsia" w:ascii="仿宋_GB2312" w:hAnsi="仿宋_GB2312" w:eastAsia="仿宋_GB2312" w:cs="仿宋_GB2312"/>
          <w:kern w:val="0"/>
          <w:sz w:val="32"/>
          <w:szCs w:val="32"/>
        </w:rPr>
        <w:t>以“村庄园林化、道路林荫化、山坡林果化、河道景观化、庭院花园化”为目标，打造一批“特色小镇”“秀美村庄”“富美乡村”。大力实施以农村污水垃圾治理、厕所革命和村容村貌提升为重点的农村人居环境整治行动和“三清一改”村庄清洁行动。健全完善农村人居环境长效管护机制，改善乡村面貌，提升人居舒适度。到2025年，村庄绿化覆盖30%以上，庭院美化1500户，农村生活垃圾处理实现全覆盖、农村户用卫生厕所普及达90%以上。</w:t>
      </w:r>
    </w:p>
    <w:p w14:paraId="1B3D15DD">
      <w:pPr>
        <w:pStyle w:val="2"/>
        <w:rPr>
          <w:rFonts w:hint="eastAsia"/>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5D0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6B284AF8">
            <w:pPr>
              <w:pStyle w:val="2"/>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eastAsia="zh-CN"/>
              </w:rPr>
              <w:t>专栏</w:t>
            </w:r>
            <w:r>
              <w:rPr>
                <w:rFonts w:hint="eastAsia" w:ascii="仿宋_GB2312" w:hAnsi="仿宋_GB2312" w:eastAsia="仿宋_GB2312" w:cs="仿宋_GB2312"/>
                <w:b/>
                <w:bCs/>
                <w:kern w:val="0"/>
                <w:sz w:val="28"/>
                <w:szCs w:val="28"/>
                <w:lang w:val="en-US" w:eastAsia="zh-CN"/>
              </w:rPr>
              <w:t xml:space="preserve">  乡村振兴示范村</w:t>
            </w:r>
          </w:p>
          <w:p w14:paraId="4F471C96">
            <w:pPr>
              <w:pStyle w:val="2"/>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24"/>
                <w:szCs w:val="24"/>
                <w:lang w:val="en-US" w:eastAsia="zh-CN"/>
              </w:rPr>
              <w:t>永阳街道猫洞村，永靖镇黎安村、安马村，小寨坝红岩村、大寨村，九庄杉林村、堰坪村，温泉镇兴隆村、赶子村，西山镇鹿窝村、林丰村，石硐镇大洪村、中坝村，流长镇宋家寨村、李安寨村，养龙司镇坝上村，灯塔村、高硐村，鹿窝镇鹿龙村、三友村，青山苗族乡绿化村。</w:t>
            </w:r>
          </w:p>
        </w:tc>
      </w:tr>
    </w:tbl>
    <w:p w14:paraId="64D83B2E">
      <w:pPr>
        <w:pStyle w:val="2"/>
        <w:rPr>
          <w:rFonts w:hint="eastAsia"/>
        </w:rPr>
      </w:pPr>
    </w:p>
    <w:p w14:paraId="158E4158">
      <w:pPr>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sz w:val="32"/>
          <w:szCs w:val="32"/>
        </w:rPr>
        <w:t>打造乡风文明新风貌。</w:t>
      </w:r>
      <w:r>
        <w:rPr>
          <w:rFonts w:hint="eastAsia" w:ascii="仿宋_GB2312" w:hAnsi="仿宋_GB2312" w:eastAsia="仿宋_GB2312" w:cs="仿宋_GB2312"/>
          <w:sz w:val="32"/>
          <w:szCs w:val="32"/>
        </w:rPr>
        <w:t>全面排查整治存在乱埋乱葬、毁绿坏水等突出问题。贯彻“文化润人”理念，</w:t>
      </w:r>
      <w:r>
        <w:rPr>
          <w:rFonts w:ascii="仿宋_GB2312" w:hAnsi="仿宋_GB2312" w:eastAsia="仿宋_GB2312" w:cs="仿宋_GB2312"/>
          <w:sz w:val="32"/>
          <w:szCs w:val="32"/>
        </w:rPr>
        <w:t>坚持教育引导、实践养成、制度保障三管齐下，</w:t>
      </w:r>
      <w:r>
        <w:rPr>
          <w:rFonts w:hint="eastAsia" w:ascii="仿宋_GB2312" w:hAnsi="仿宋_GB2312" w:eastAsia="仿宋_GB2312" w:cs="仿宋_GB2312"/>
          <w:sz w:val="32"/>
          <w:szCs w:val="32"/>
        </w:rPr>
        <w:t>充分利用融媒体扩大宣传，设置廉政文化、红黑榜、义举榜、科普、法律等专题模块，开展文明家庭、道德模范评选和曝光不文明行为。开展移风易俗活动，大力倡导节约简化，整治餐饮浪费，破除封建迷信，革除陈规陋习，倡导丧葬新风，开展最美家庭、最美善举、最美志愿者、好媳妇、好党员、好青年评选活动，传播正能量，积极营造健康向上的生活环境。</w:t>
      </w:r>
      <w:r>
        <w:rPr>
          <w:rFonts w:hint="eastAsia" w:ascii="仿宋_GB2312" w:hAnsi="仿宋_GB2312" w:eastAsia="仿宋_GB2312" w:cs="仿宋_GB2312"/>
          <w:kern w:val="0"/>
          <w:sz w:val="32"/>
          <w:szCs w:val="32"/>
        </w:rPr>
        <w:t>到2025年</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农村居民教育文化娱乐支出占比11.8%</w:t>
      </w:r>
      <w:r>
        <w:rPr>
          <w:rFonts w:ascii="仿宋_GB2312" w:hAnsi="仿宋_GB2312" w:eastAsia="仿宋_GB2312" w:cs="仿宋_GB2312"/>
          <w:kern w:val="0"/>
          <w:sz w:val="32"/>
          <w:szCs w:val="32"/>
        </w:rPr>
        <w:t>，县级以上文明村镇达60%以上。</w:t>
      </w:r>
    </w:p>
    <w:p w14:paraId="18238770">
      <w:pPr>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sz w:val="32"/>
          <w:szCs w:val="32"/>
        </w:rPr>
        <w:t>构建乡村治理体系。</w:t>
      </w:r>
      <w:r>
        <w:rPr>
          <w:rFonts w:hint="eastAsia" w:ascii="仿宋_GB2312" w:hAnsi="仿宋_GB2312" w:eastAsia="仿宋_GB2312" w:cs="仿宋_GB2312"/>
          <w:b w:val="0"/>
          <w:bCs w:val="0"/>
          <w:sz w:val="32"/>
          <w:szCs w:val="32"/>
          <w:lang w:eastAsia="zh-CN"/>
        </w:rPr>
        <w:t>要围绕“推动农村治理由村民自治向多元共治转变”。</w:t>
      </w:r>
      <w:r>
        <w:rPr>
          <w:rFonts w:ascii="仿宋_GB2312" w:hAnsi="仿宋_GB2312" w:eastAsia="仿宋_GB2312" w:cs="仿宋_GB2312"/>
          <w:kern w:val="0"/>
          <w:sz w:val="32"/>
          <w:szCs w:val="32"/>
        </w:rPr>
        <w:t>强</w:t>
      </w:r>
      <w:r>
        <w:rPr>
          <w:rFonts w:hint="eastAsia" w:ascii="仿宋_GB2312" w:hAnsi="仿宋_GB2312" w:eastAsia="仿宋_GB2312" w:cs="仿宋_GB2312"/>
          <w:kern w:val="0"/>
          <w:sz w:val="32"/>
          <w:szCs w:val="32"/>
        </w:rPr>
        <w:t>化村民</w:t>
      </w:r>
      <w:r>
        <w:rPr>
          <w:rFonts w:ascii="仿宋_GB2312" w:hAnsi="仿宋_GB2312" w:eastAsia="仿宋_GB2312" w:cs="仿宋_GB2312"/>
          <w:kern w:val="0"/>
          <w:sz w:val="32"/>
          <w:szCs w:val="32"/>
        </w:rPr>
        <w:t>自治</w:t>
      </w:r>
      <w:r>
        <w:rPr>
          <w:rFonts w:hint="eastAsia" w:ascii="仿宋_GB2312" w:hAnsi="仿宋_GB2312" w:eastAsia="仿宋_GB2312" w:cs="仿宋_GB2312"/>
          <w:kern w:val="0"/>
          <w:sz w:val="32"/>
          <w:szCs w:val="32"/>
        </w:rPr>
        <w:t>，全面构建和发挥农村党组织、村民委员会、村代会、村监会、经济合作组织五位一体治理架构体系作用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建设</w:t>
      </w:r>
      <w:r>
        <w:rPr>
          <w:rFonts w:ascii="仿宋_GB2312" w:hAnsi="仿宋_GB2312" w:eastAsia="仿宋_GB2312" w:cs="仿宋_GB2312"/>
          <w:kern w:val="0"/>
          <w:sz w:val="32"/>
          <w:szCs w:val="32"/>
        </w:rPr>
        <w:t>法治乡村</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加大农村普法力度，加强法律援助和司法救助。提升德治水平</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加大社会主义核心价值观的宣传教育，深入挖掘农耕文化蕴含的思想观念、人文精神、道德规范，凝聚人心、教化群众、淳化民风</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实现</w:t>
      </w:r>
      <w:r>
        <w:rPr>
          <w:rFonts w:hint="eastAsia" w:ascii="仿宋_GB2312" w:hAnsi="仿宋_GB2312" w:eastAsia="仿宋_GB2312" w:cs="仿宋_GB2312"/>
          <w:sz w:val="32"/>
          <w:szCs w:val="32"/>
        </w:rPr>
        <w:t>家庭和睦、邻里和谐、干群融洽</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突出</w:t>
      </w:r>
      <w:r>
        <w:rPr>
          <w:rFonts w:ascii="仿宋_GB2312" w:hAnsi="仿宋_GB2312" w:eastAsia="仿宋_GB2312" w:cs="仿宋_GB2312"/>
          <w:kern w:val="0"/>
          <w:sz w:val="32"/>
          <w:szCs w:val="32"/>
        </w:rPr>
        <w:t>自我管理、自我教育，大力培育服务性、公益性、互助性农村社会组织，逐步形成完善的乡村便民服务体系。</w:t>
      </w:r>
      <w:r>
        <w:rPr>
          <w:rFonts w:hint="eastAsia" w:ascii="仿宋_GB2312" w:hAnsi="仿宋_GB2312" w:eastAsia="仿宋_GB2312" w:cs="仿宋_GB2312"/>
          <w:kern w:val="0"/>
          <w:sz w:val="32"/>
          <w:szCs w:val="32"/>
        </w:rPr>
        <w:t>到2025年，100%村建有综合服务站和村规民约</w:t>
      </w:r>
      <w:r>
        <w:rPr>
          <w:rFonts w:ascii="仿宋_GB2312" w:hAnsi="仿宋_GB2312" w:eastAsia="仿宋_GB2312" w:cs="仿宋_GB2312"/>
          <w:kern w:val="0"/>
          <w:sz w:val="32"/>
          <w:szCs w:val="32"/>
        </w:rPr>
        <w:t>。</w:t>
      </w:r>
    </w:p>
    <w:p w14:paraId="525364B3">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337" w:name="_Toc29005"/>
      <w:bookmarkStart w:id="338" w:name="_Toc11523"/>
      <w:bookmarkStart w:id="339" w:name="_Toc61193807"/>
      <w:bookmarkStart w:id="340" w:name="_Toc21287"/>
      <w:bookmarkStart w:id="341" w:name="_Toc25439"/>
      <w:bookmarkStart w:id="342" w:name="_Toc14946"/>
      <w:bookmarkStart w:id="343" w:name="_Toc28684"/>
      <w:r>
        <w:rPr>
          <w:rFonts w:hint="eastAsia" w:ascii="方正小标宋简体" w:hAnsi="方正小标宋简体" w:eastAsia="方正小标宋简体" w:cs="方正小标宋简体"/>
          <w:b w:val="0"/>
          <w:bCs w:val="0"/>
          <w:kern w:val="0"/>
        </w:rPr>
        <w:t>第六节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lang w:val="en-US" w:eastAsia="zh-CN"/>
        </w:rPr>
        <w:t xml:space="preserve"> </w:t>
      </w:r>
      <w:r>
        <w:rPr>
          <w:rFonts w:hint="eastAsia" w:ascii="方正小标宋简体" w:hAnsi="方正小标宋简体" w:eastAsia="方正小标宋简体" w:cs="方正小标宋简体"/>
          <w:b w:val="0"/>
          <w:bCs w:val="0"/>
          <w:kern w:val="0"/>
        </w:rPr>
        <w:t>夯实农业农村发展基础</w:t>
      </w:r>
      <w:bookmarkEnd w:id="337"/>
      <w:bookmarkEnd w:id="338"/>
      <w:bookmarkEnd w:id="339"/>
      <w:bookmarkEnd w:id="340"/>
      <w:bookmarkEnd w:id="341"/>
      <w:bookmarkEnd w:id="342"/>
      <w:bookmarkEnd w:id="343"/>
    </w:p>
    <w:p w14:paraId="1970A043">
      <w:pPr>
        <w:widowControl/>
        <w:spacing w:line="560" w:lineRule="exact"/>
        <w:ind w:firstLine="643" w:firstLineChars="200"/>
        <w:rPr>
          <w:rFonts w:ascii="仿宋_GB2312" w:eastAsia="仿宋_GB2312" w:cs="仿宋_GB2312"/>
          <w:sz w:val="32"/>
          <w:szCs w:val="32"/>
        </w:rPr>
      </w:pPr>
      <w:r>
        <w:rPr>
          <w:rFonts w:hint="eastAsia" w:ascii="黑体" w:hAnsi="黑体" w:eastAsia="黑体"/>
          <w:b/>
          <w:bCs/>
          <w:sz w:val="32"/>
          <w:szCs w:val="32"/>
        </w:rPr>
        <w:t>夯实农业基础设施</w:t>
      </w:r>
      <w:r>
        <w:rPr>
          <w:rFonts w:hint="eastAsia" w:ascii="仿宋_GB2312" w:hAnsi="仿宋_GB2312" w:eastAsia="仿宋_GB2312" w:cs="仿宋_GB2312"/>
          <w:b/>
          <w:bCs/>
          <w:sz w:val="32"/>
          <w:szCs w:val="32"/>
        </w:rPr>
        <w:t>。</w:t>
      </w:r>
      <w:r>
        <w:rPr>
          <w:rFonts w:hint="eastAsia" w:ascii="仿宋_GB2312" w:eastAsia="仿宋_GB2312" w:cs="仿宋_GB2312"/>
          <w:sz w:val="32"/>
          <w:szCs w:val="32"/>
        </w:rPr>
        <w:t>全面推进水、电、路、讯等基础设施建设，提高都市现代农业装备水平，确保“车能进、货能出，涝能排、旱能灌”，着力强化基础设施“建、管、用、养”机制，保障公共基础设施建得成、用得上、有人管。</w:t>
      </w:r>
      <w:r>
        <w:rPr>
          <w:rFonts w:hint="eastAsia" w:ascii="仿宋_GB2312" w:hAnsi="仿宋_GB2312" w:eastAsia="仿宋_GB2312" w:cs="仿宋_GB2312"/>
          <w:sz w:val="32"/>
          <w:szCs w:val="32"/>
        </w:rPr>
        <w:t>开展土地平整、土壤改良、灌溉与排水、田间道路、农田防护与生态环境保护、农田输配电以及其他基础工程建设。实施高标准农田、土地综合整治、耕地质量提升行动、水肥药一体化</w:t>
      </w:r>
      <w:r>
        <w:rPr>
          <w:rFonts w:hint="eastAsia" w:ascii="仿宋_GB2312" w:hAnsi="仿宋_GB2312" w:eastAsia="仿宋_GB2312" w:cs="仿宋_GB2312"/>
          <w:kern w:val="0"/>
          <w:sz w:val="32"/>
          <w:szCs w:val="32"/>
        </w:rPr>
        <w:t>降本提质增效</w:t>
      </w:r>
      <w:r>
        <w:rPr>
          <w:rFonts w:hint="eastAsia" w:ascii="仿宋_GB2312" w:hAnsi="仿宋_GB2312" w:eastAsia="仿宋_GB2312" w:cs="仿宋_GB2312"/>
          <w:sz w:val="32"/>
          <w:szCs w:val="32"/>
        </w:rPr>
        <w:t>、休耕轮作、旱土改水田等项目17.5万亩，新建机耕道和生产便道150公里,支持农村冷链物流设施建设，力争建成冷库库容达到5万吨。</w:t>
      </w:r>
    </w:p>
    <w:p w14:paraId="072900AD">
      <w:pPr>
        <w:widowControl/>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提升农业机械化水平。</w:t>
      </w:r>
      <w:r>
        <w:rPr>
          <w:rFonts w:hint="eastAsia" w:ascii="仿宋_GB2312" w:hAnsi="仿宋_GB2312" w:eastAsia="仿宋_GB2312" w:cs="仿宋_GB2312"/>
          <w:sz w:val="32"/>
          <w:szCs w:val="32"/>
        </w:rPr>
        <w:t>健全农机社会化服务体系，落实好农机购置补贴政策，推广应用“先进、实用、高效、环保”型机具，不断完善农机报废更新补贴实施办法。提高农业良种化水平，在农业产业聚集区探索建立专业化服务机构，开展农畜产品生产、病虫害(疫病)防控、加工储运保鲜等全产业链机械化服务。实施果园、菜园和茶园及畜禽养殖、渔业生产等高效农机化规模生产示范工程，增强对极端天气应对能力，加快人工防雹增雨站点建设。农业生产综合机械化率力争达到55%。</w:t>
      </w:r>
    </w:p>
    <w:p w14:paraId="76F07ECB">
      <w:pPr>
        <w:widowControl/>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提升农业信息化水平。</w:t>
      </w:r>
      <w:r>
        <w:rPr>
          <w:rFonts w:hint="eastAsia" w:ascii="仿宋_GB2312" w:hAnsi="仿宋_GB2312" w:eastAsia="仿宋_GB2312" w:cs="仿宋_GB2312"/>
          <w:sz w:val="32"/>
          <w:szCs w:val="32"/>
        </w:rPr>
        <w:t>以农产品加工集聚区、农业产业示范引领区建设为载体，推进“互联网+农业”融合发展，着力抓实农业数据库</w:t>
      </w:r>
      <w:r>
        <w:rPr>
          <w:rFonts w:hint="eastAsia" w:ascii="仿宋_GB2312" w:hAnsi="仿宋_GB2312" w:eastAsia="仿宋_GB2312" w:cs="仿宋_GB2312"/>
          <w:sz w:val="32"/>
          <w:szCs w:val="32"/>
          <w:lang w:val="en-US" w:eastAsia="zh-CN"/>
        </w:rPr>
        <w:t>+数据运营服务平台</w:t>
      </w:r>
      <w:r>
        <w:rPr>
          <w:rFonts w:hint="eastAsia" w:ascii="仿宋_GB2312" w:hAnsi="仿宋_GB2312" w:eastAsia="仿宋_GB2312" w:cs="仿宋_GB2312"/>
          <w:sz w:val="32"/>
          <w:szCs w:val="32"/>
        </w:rPr>
        <w:t>建设，大力发展数字农业，</w:t>
      </w:r>
      <w:r>
        <w:rPr>
          <w:rFonts w:hint="eastAsia" w:ascii="仿宋_GB2312" w:hAnsi="仿宋_GB2312" w:eastAsia="仿宋_GB2312" w:cs="仿宋_GB2312"/>
          <w:sz w:val="32"/>
          <w:szCs w:val="32"/>
          <w:lang w:eastAsia="zh-CN"/>
        </w:rPr>
        <w:t>赋能</w:t>
      </w:r>
      <w:r>
        <w:rPr>
          <w:rFonts w:hint="eastAsia" w:ascii="仿宋_GB2312" w:hAnsi="仿宋_GB2312" w:eastAsia="仿宋_GB2312" w:cs="仿宋_GB2312"/>
          <w:sz w:val="32"/>
          <w:szCs w:val="32"/>
        </w:rPr>
        <w:t>产业发展。加强智慧农业技术与装备研发，建设基于卫星遥感、航空无人机、田间观测一体化的农业遥感应用体系。推进“</w:t>
      </w:r>
      <w:r>
        <w:rPr>
          <w:rFonts w:ascii="仿宋_GB2312" w:hAnsi="仿宋_GB2312" w:eastAsia="仿宋_GB2312" w:cs="仿宋_GB2312"/>
          <w:sz w:val="32"/>
          <w:szCs w:val="32"/>
        </w:rPr>
        <w:t>5G+农业”融合发展，发展智慧养殖、数字田园</w:t>
      </w:r>
      <w:r>
        <w:rPr>
          <w:rFonts w:hint="eastAsia" w:ascii="仿宋_GB2312" w:hAnsi="仿宋_GB2312" w:eastAsia="仿宋_GB2312" w:cs="仿宋_GB2312"/>
          <w:sz w:val="32"/>
          <w:szCs w:val="32"/>
        </w:rPr>
        <w:t>，推进电子化交易等。开展农业物联网应用示范建设，省级现代高效农业示范园区、规模化标准化基地物联网应用云平台接入率达到90%。每年建设1个大数据与农业产业融合标杆项目、5个融合示范项目。</w:t>
      </w:r>
    </w:p>
    <w:p w14:paraId="69732E12">
      <w:pPr>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sz w:val="32"/>
          <w:szCs w:val="32"/>
        </w:rPr>
        <w:t>提升农业科技水平</w:t>
      </w:r>
      <w:r>
        <w:rPr>
          <w:rFonts w:hint="eastAsia" w:ascii="黑体" w:hAnsi="黑体" w:eastAsia="黑体"/>
          <w:sz w:val="32"/>
          <w:szCs w:val="32"/>
        </w:rPr>
        <w:t>。</w:t>
      </w:r>
      <w:r>
        <w:rPr>
          <w:rFonts w:hint="eastAsia" w:ascii="仿宋_GB2312" w:hAnsi="仿宋_GB2312" w:eastAsia="仿宋_GB2312" w:cs="仿宋_GB2312"/>
          <w:sz w:val="32"/>
          <w:szCs w:val="32"/>
        </w:rPr>
        <w:t>强化农业科技创新与应用。加快构建新型农业科技创新体系。</w:t>
      </w:r>
      <w:r>
        <w:rPr>
          <w:rFonts w:hint="eastAsia" w:ascii="仿宋_GB2312" w:hAnsi="仿宋_GB2312" w:eastAsia="仿宋_GB2312" w:cs="仿宋_GB2312"/>
          <w:kern w:val="0"/>
          <w:sz w:val="32"/>
          <w:szCs w:val="32"/>
        </w:rPr>
        <w:t>实施良种支撑行动，育成一批优质、高产、高效良种库，提高良种覆盖率。培育建设1个农产品综合利用产业技术联盟，加快建设一批农业示范基地，示范推广现代农业生产、绿色防控等先进适用技术，培育一批农业科技示范主体。2025年完成20个以上的新品种引种试验示范。</w:t>
      </w:r>
    </w:p>
    <w:p w14:paraId="1A063D02">
      <w:pPr>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cs="黑体"/>
          <w:b/>
          <w:bCs/>
          <w:kern w:val="0"/>
          <w:sz w:val="32"/>
          <w:szCs w:val="32"/>
        </w:rPr>
        <w:t>提升乡村人才水平</w:t>
      </w:r>
      <w:r>
        <w:rPr>
          <w:rFonts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汇集各种资源，鼓励农业科研人员、管理人员下乡带薪领办项目，示范、服务主导产业，培育新型农业经营主体带头人、社会化服务人员等1000人,培训农村特色技能人才500名。每年选拔支持50名优秀专家、科技人员、农业农村管理人员进行重点培养。大力实施“新乡贤回归工程”，鼓励返乡下乡创业就业，进一步激发农业农村发展活力。</w:t>
      </w:r>
    </w:p>
    <w:p w14:paraId="4FA8C5CA">
      <w:pPr>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kern w:val="0"/>
          <w:sz w:val="32"/>
          <w:szCs w:val="32"/>
        </w:rPr>
        <w:t>提升农业生产组织化水平。</w:t>
      </w:r>
      <w:r>
        <w:rPr>
          <w:rFonts w:hint="eastAsia" w:ascii="仿宋_GB2312" w:hAnsi="仿宋_GB2312" w:eastAsia="仿宋_GB2312" w:cs="仿宋_GB2312"/>
          <w:b/>
          <w:bCs/>
          <w:sz w:val="32"/>
          <w:szCs w:val="32"/>
        </w:rPr>
        <w:t>加快构建现代农业经营体系。</w:t>
      </w:r>
      <w:r>
        <w:rPr>
          <w:rFonts w:hint="eastAsia" w:ascii="仿宋_GB2312" w:hAnsi="仿宋_GB2312" w:eastAsia="仿宋_GB2312" w:cs="仿宋_GB2312"/>
          <w:sz w:val="32"/>
          <w:szCs w:val="32"/>
        </w:rPr>
        <w:t>坚持规模化经营提升农业效益，</w:t>
      </w:r>
      <w:r>
        <w:rPr>
          <w:rFonts w:ascii="仿宋_GB2312" w:hAnsi="仿宋_GB2312" w:eastAsia="仿宋_GB2312" w:cs="仿宋_GB2312"/>
          <w:sz w:val="32"/>
          <w:szCs w:val="32"/>
        </w:rPr>
        <w:t>发展多种形式适度规模经营，壮大龙头企业、农民专业合作社、家庭农场和专业大户</w:t>
      </w:r>
      <w:r>
        <w:rPr>
          <w:rFonts w:hint="eastAsia" w:ascii="仿宋_GB2312" w:hAnsi="仿宋_GB2312" w:eastAsia="仿宋_GB2312" w:cs="仿宋_GB2312"/>
          <w:sz w:val="32"/>
          <w:szCs w:val="32"/>
        </w:rPr>
        <w:t>，实现小农户和现代农业有机衔接。</w:t>
      </w:r>
      <w:r>
        <w:rPr>
          <w:rFonts w:hint="eastAsia" w:ascii="仿宋_GB2312" w:hAnsi="仿宋_GB2312" w:eastAsia="仿宋_GB2312" w:cs="仿宋_GB2312"/>
          <w:b/>
          <w:bCs/>
          <w:sz w:val="32"/>
          <w:szCs w:val="32"/>
        </w:rPr>
        <w:t>振兴新型农村集体经济</w:t>
      </w:r>
      <w:r>
        <w:rPr>
          <w:rFonts w:ascii="仿宋_GB2312" w:hAnsi="仿宋_GB2312" w:eastAsia="仿宋_GB2312" w:cs="仿宋_GB2312"/>
          <w:b/>
          <w:bCs/>
          <w:sz w:val="32"/>
          <w:szCs w:val="32"/>
        </w:rPr>
        <w:t>。</w:t>
      </w:r>
      <w:r>
        <w:rPr>
          <w:rFonts w:hint="eastAsia" w:ascii="仿宋_GB2312" w:hAnsi="仿宋_GB2312" w:eastAsia="仿宋_GB2312" w:cs="仿宋_GB2312"/>
          <w:kern w:val="0"/>
          <w:sz w:val="32"/>
          <w:szCs w:val="32"/>
        </w:rPr>
        <w:t>开展集体经济强村创建活动，努力培育100个集体经济收入50万元的示范村。提升村集体股份经济合作社服务能力和水平，为农户生产生活提供“一站式”服务，实现行政村100%全覆盖。</w:t>
      </w:r>
      <w:r>
        <w:rPr>
          <w:rFonts w:hint="eastAsia" w:ascii="仿宋_GB2312" w:hAnsi="仿宋_GB2312" w:eastAsia="仿宋_GB2312" w:cs="仿宋_GB2312"/>
          <w:b/>
          <w:bCs/>
          <w:sz w:val="32"/>
          <w:szCs w:val="32"/>
        </w:rPr>
        <w:t>培育利益联接共同体</w:t>
      </w:r>
      <w:r>
        <w:rPr>
          <w:rFonts w:ascii="仿宋_GB2312" w:hAnsi="仿宋_GB2312" w:eastAsia="仿宋_GB2312" w:cs="仿宋_GB2312"/>
          <w:b/>
          <w:bCs/>
          <w:sz w:val="32"/>
          <w:szCs w:val="32"/>
        </w:rPr>
        <w:t>。</w:t>
      </w:r>
      <w:r>
        <w:rPr>
          <w:rFonts w:hint="eastAsia" w:ascii="仿宋_GB2312" w:hAnsi="仿宋_GB2312" w:eastAsia="仿宋_GB2312" w:cs="仿宋_GB2312"/>
          <w:kern w:val="0"/>
          <w:sz w:val="32"/>
          <w:szCs w:val="32"/>
        </w:rPr>
        <w:t>进一步完善“党建+龙头企业+合作社+农户”组织模式，培育县级以上农民合作社示范社100家，家庭农场发展到300家(其中认定星级示范家庭农场100家)，培育农业产业化联合体3个，主要农产品合作化达100%</w:t>
      </w:r>
      <w:r>
        <w:rPr>
          <w:rFonts w:ascii="仿宋_GB2312" w:hAnsi="仿宋_GB2312" w:eastAsia="仿宋_GB2312" w:cs="仿宋_GB2312"/>
          <w:kern w:val="0"/>
          <w:sz w:val="32"/>
          <w:szCs w:val="32"/>
        </w:rPr>
        <w:t>。</w:t>
      </w:r>
    </w:p>
    <w:bookmarkEnd w:id="183"/>
    <w:p w14:paraId="6F2EC0F3">
      <w:pPr>
        <w:pStyle w:val="3"/>
        <w:pageBreakBefore/>
        <w:spacing w:before="312" w:beforeLines="100" w:after="312" w:afterLines="100" w:line="560" w:lineRule="exact"/>
        <w:jc w:val="center"/>
        <w:rPr>
          <w:rFonts w:ascii="方正小标宋简体" w:hAnsi="方正小标宋简体" w:eastAsia="方正小标宋简体" w:cs="方正小标宋简体"/>
          <w:b w:val="0"/>
          <w:bCs w:val="0"/>
          <w:sz w:val="36"/>
          <w:szCs w:val="36"/>
        </w:rPr>
      </w:pPr>
      <w:bookmarkStart w:id="344" w:name="_Toc1576"/>
      <w:bookmarkStart w:id="345" w:name="_Toc5056"/>
      <w:bookmarkStart w:id="346" w:name="_Toc58580305"/>
      <w:bookmarkStart w:id="347" w:name="_Toc1962"/>
      <w:bookmarkStart w:id="348" w:name="_Toc26363"/>
      <w:bookmarkStart w:id="349" w:name="_Toc22239"/>
      <w:bookmarkStart w:id="350" w:name="_Toc212"/>
      <w:bookmarkStart w:id="351" w:name="_Toc21284"/>
      <w:bookmarkStart w:id="352" w:name="_Toc3865"/>
      <w:bookmarkStart w:id="353" w:name="_Toc18183"/>
      <w:bookmarkStart w:id="354" w:name="_Toc61193808"/>
      <w:bookmarkStart w:id="355" w:name="_Toc22096"/>
      <w:bookmarkStart w:id="356" w:name="_Toc30757"/>
      <w:bookmarkStart w:id="357" w:name="_Toc1146"/>
      <w:bookmarkStart w:id="358" w:name="_Toc28703"/>
      <w:bookmarkStart w:id="359" w:name="_Toc28915"/>
      <w:bookmarkStart w:id="360" w:name="_Toc12920"/>
      <w:r>
        <w:rPr>
          <w:rFonts w:hint="eastAsia" w:ascii="方正小标宋简体" w:hAnsi="方正小标宋简体" w:eastAsia="方正小标宋简体" w:cs="方正小标宋简体"/>
          <w:b w:val="0"/>
          <w:bCs w:val="0"/>
          <w:sz w:val="36"/>
          <w:szCs w:val="36"/>
        </w:rPr>
        <w:t>第七章  加快推进新型工业化</w:t>
      </w:r>
      <w:r>
        <w:rPr>
          <w:rFonts w:hint="eastAsia" w:ascii="方正小标宋简体" w:hAnsi="方正小标宋简体" w:eastAsia="方正小标宋简体" w:cs="方正小标宋简体"/>
          <w:b w:val="0"/>
          <w:bCs w:val="0"/>
          <w:sz w:val="36"/>
          <w:szCs w:val="36"/>
          <w:lang w:val="en-US" w:eastAsia="zh-CN"/>
        </w:rPr>
        <w:t xml:space="preserve">   高质量</w:t>
      </w:r>
      <w:r>
        <w:rPr>
          <w:rFonts w:hint="eastAsia" w:ascii="方正小标宋简体" w:hAnsi="方正小标宋简体" w:eastAsia="方正小标宋简体" w:cs="方正小标宋简体"/>
          <w:b w:val="0"/>
          <w:bCs w:val="0"/>
          <w:sz w:val="36"/>
          <w:szCs w:val="36"/>
        </w:rPr>
        <w:t>打造中高端制造业核心配套区</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p w14:paraId="6ACBDC84">
      <w:pPr>
        <w:spacing w:line="560" w:lineRule="exact"/>
        <w:ind w:firstLine="640" w:firstLineChars="200"/>
        <w:rPr>
          <w:rFonts w:ascii="仿宋_GB2312" w:hAnsi="仿宋_GB2312" w:eastAsia="仿宋_GB2312" w:cs="仿宋_GB2312"/>
          <w:sz w:val="32"/>
          <w:szCs w:val="32"/>
        </w:rPr>
      </w:pPr>
      <w:bookmarkStart w:id="361" w:name="_Toc7110"/>
      <w:r>
        <w:rPr>
          <w:rFonts w:hint="eastAsia" w:ascii="仿宋_GB2312" w:hAnsi="仿宋_GB2312" w:eastAsia="仿宋_GB2312" w:cs="仿宋_GB2312"/>
          <w:color w:val="000000"/>
          <w:sz w:val="32"/>
          <w:szCs w:val="32"/>
        </w:rPr>
        <w:t>将新型工业化作为经济高质量发展的首要任务，按照特色化、集群化、链条化的发展要求，以</w:t>
      </w:r>
      <w:r>
        <w:rPr>
          <w:rFonts w:hint="eastAsia" w:ascii="仿宋_GB2312" w:hAnsi="仿宋_GB2312" w:eastAsia="仿宋_GB2312" w:cs="仿宋_GB2312"/>
          <w:color w:val="000000"/>
          <w:sz w:val="32"/>
          <w:szCs w:val="32"/>
          <w:lang w:eastAsia="zh-CN"/>
        </w:rPr>
        <w:t>“着力打造功能完善的</w:t>
      </w:r>
      <w:r>
        <w:rPr>
          <w:rFonts w:hint="eastAsia" w:ascii="仿宋_GB2312" w:hAnsi="仿宋_GB2312" w:eastAsia="仿宋_GB2312" w:cs="仿宋_GB2312"/>
          <w:color w:val="000000"/>
          <w:sz w:val="32"/>
          <w:szCs w:val="32"/>
        </w:rPr>
        <w:t>中高端制造业核心配套区”为引领，选择现代化工、新型建材为首位产业，加快形成</w:t>
      </w:r>
      <w:r>
        <w:rPr>
          <w:rFonts w:hint="eastAsia" w:ascii="仿宋_GB2312" w:hAnsi="仿宋_GB2312" w:eastAsia="仿宋_GB2312" w:cs="仿宋_GB2312"/>
          <w:b/>
          <w:bCs/>
          <w:color w:val="000000"/>
          <w:sz w:val="32"/>
          <w:szCs w:val="32"/>
        </w:rPr>
        <w:t>“一轴一环两核多点”</w:t>
      </w:r>
      <w:r>
        <w:rPr>
          <w:rFonts w:hint="eastAsia" w:ascii="仿宋_GB2312" w:hAnsi="仿宋_GB2312" w:eastAsia="仿宋_GB2312" w:cs="仿宋_GB2312"/>
          <w:color w:val="000000"/>
          <w:sz w:val="32"/>
          <w:szCs w:val="32"/>
        </w:rPr>
        <w:t>的工业布局，做优“百十亿级”工业产业，努力实现“工业大突破”。</w:t>
      </w:r>
      <w:r>
        <w:rPr>
          <w:rFonts w:hint="eastAsia" w:ascii="仿宋_GB2312" w:hAnsi="仿宋_GB2312" w:eastAsia="仿宋_GB2312" w:cs="仿宋_GB2312"/>
          <w:kern w:val="0"/>
          <w:sz w:val="32"/>
          <w:szCs w:val="32"/>
        </w:rPr>
        <w:t>到</w:t>
      </w:r>
      <w:r>
        <w:rPr>
          <w:rFonts w:ascii="仿宋_GB2312" w:hAnsi="仿宋_GB2312" w:eastAsia="仿宋_GB2312" w:cs="仿宋_GB2312"/>
          <w:kern w:val="0"/>
          <w:sz w:val="32"/>
          <w:szCs w:val="32"/>
        </w:rPr>
        <w:t>2025年，规模以上工业企业达</w:t>
      </w:r>
      <w:r>
        <w:rPr>
          <w:rFonts w:hint="eastAsia" w:ascii="仿宋_GB2312" w:hAnsi="仿宋_GB2312" w:eastAsia="仿宋_GB2312" w:cs="仿宋_GB2312"/>
          <w:kern w:val="0"/>
          <w:sz w:val="32"/>
          <w:szCs w:val="32"/>
        </w:rPr>
        <w:t>75</w:t>
      </w:r>
      <w:r>
        <w:rPr>
          <w:rFonts w:ascii="仿宋_GB2312" w:hAnsi="仿宋_GB2312" w:eastAsia="仿宋_GB2312" w:cs="仿宋_GB2312"/>
          <w:kern w:val="0"/>
          <w:sz w:val="32"/>
          <w:szCs w:val="32"/>
        </w:rPr>
        <w:t>户以上，工业直接就业人员达10000人以上，工业总产值达到250亿元</w:t>
      </w:r>
      <w:r>
        <w:rPr>
          <w:rFonts w:hint="eastAsia" w:ascii="仿宋_GB2312" w:eastAsia="仿宋_GB2312"/>
          <w:color w:val="000000"/>
          <w:sz w:val="32"/>
          <w:szCs w:val="32"/>
        </w:rPr>
        <w:t>。</w:t>
      </w:r>
    </w:p>
    <w:p w14:paraId="117FF468">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362" w:name="_Toc9143"/>
      <w:bookmarkStart w:id="363" w:name="_Toc58580306"/>
      <w:bookmarkStart w:id="364" w:name="_Toc61193809"/>
      <w:bookmarkStart w:id="365" w:name="_Toc15343"/>
      <w:bookmarkStart w:id="366" w:name="_Toc5145"/>
      <w:bookmarkStart w:id="367" w:name="_Toc13806"/>
      <w:bookmarkStart w:id="368" w:name="_Toc27774"/>
      <w:bookmarkStart w:id="369" w:name="_Toc2763"/>
      <w:bookmarkStart w:id="370" w:name="_Toc9230"/>
      <w:bookmarkStart w:id="371" w:name="_Toc31505"/>
      <w:bookmarkStart w:id="372" w:name="_Toc28880"/>
      <w:bookmarkStart w:id="373" w:name="_Toc4608"/>
      <w:bookmarkStart w:id="374" w:name="_Toc49344392"/>
      <w:bookmarkStart w:id="375" w:name="_Toc21027"/>
      <w:bookmarkStart w:id="376" w:name="_Toc30248"/>
      <w:bookmarkStart w:id="377" w:name="_Toc6155"/>
      <w:bookmarkStart w:id="378" w:name="_Toc30657"/>
      <w:r>
        <w:rPr>
          <w:rFonts w:hint="eastAsia" w:ascii="方正小标宋简体" w:hAnsi="方正小标宋简体" w:eastAsia="方正小标宋简体" w:cs="方正小标宋简体"/>
          <w:b w:val="0"/>
          <w:bCs w:val="0"/>
          <w:kern w:val="0"/>
        </w:rPr>
        <w:t>第一节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工业发展空间布局</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4282DDB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结合区位交通、产业基础以及城市功能分布，规划形成布局合理、特色鲜明、优势互补的“一轴一环两核多点”的工业产业发展布局。</w:t>
      </w:r>
    </w:p>
    <w:p w14:paraId="60775364">
      <w:pPr>
        <w:spacing w:line="560" w:lineRule="exact"/>
        <w:ind w:firstLine="640" w:firstLineChars="200"/>
        <w:rPr>
          <w:rFonts w:ascii="仿宋_GB2312" w:eastAsia="仿宋_GB2312" w:cs="Arial"/>
          <w:sz w:val="32"/>
          <w:szCs w:val="32"/>
        </w:rPr>
      </w:pPr>
      <w:r>
        <w:rPr>
          <w:rFonts w:hint="eastAsia" w:ascii="微软雅黑" w:hAnsi="微软雅黑" w:eastAsia="微软雅黑"/>
          <w:b/>
          <w:bCs/>
          <w:sz w:val="32"/>
          <w:szCs w:val="32"/>
        </w:rPr>
        <w:t>一轴：</w:t>
      </w:r>
      <w:r>
        <w:rPr>
          <w:rFonts w:hint="eastAsia" w:ascii="仿宋_GB2312" w:hAnsi="仿宋_GB2312" w:eastAsia="仿宋_GB2312" w:cs="仿宋_GB2312"/>
          <w:sz w:val="32"/>
          <w:szCs w:val="32"/>
        </w:rPr>
        <w:t>以</w:t>
      </w:r>
      <w:r>
        <w:rPr>
          <w:rFonts w:hint="eastAsia" w:ascii="仿宋_GB2312" w:eastAsia="仿宋_GB2312" w:cs="Arial"/>
          <w:sz w:val="32"/>
          <w:szCs w:val="32"/>
        </w:rPr>
        <w:t>贵遵高速公路、同城大道为轴，形成沿线工业布局。目前已形成太和心脑灵联通、血脂平等医药品牌，味美、阳朗辣子鸡等特色食品品牌。重点发展新医药、特色食品、装备制造、日用消费品等新兴产业。</w:t>
      </w:r>
    </w:p>
    <w:p w14:paraId="3C3155B3">
      <w:pPr>
        <w:spacing w:line="560" w:lineRule="exact"/>
        <w:ind w:firstLine="640" w:firstLineChars="200"/>
        <w:rPr>
          <w:rFonts w:ascii="仿宋_GB2312" w:hAnsi="仿宋_GB2312" w:eastAsia="仿宋_GB2312" w:cs="仿宋_GB2312"/>
          <w:snapToGrid w:val="0"/>
          <w:kern w:val="0"/>
          <w:sz w:val="32"/>
          <w:szCs w:val="32"/>
        </w:rPr>
      </w:pPr>
      <w:r>
        <w:rPr>
          <w:rFonts w:hint="eastAsia" w:ascii="微软雅黑" w:hAnsi="微软雅黑" w:eastAsia="微软雅黑"/>
          <w:b/>
          <w:bCs/>
          <w:sz w:val="32"/>
          <w:szCs w:val="32"/>
        </w:rPr>
        <w:t>一环：</w:t>
      </w:r>
      <w:r>
        <w:rPr>
          <w:rFonts w:hint="eastAsia" w:ascii="仿宋_GB2312" w:eastAsia="仿宋_GB2312" w:cs="Arial"/>
          <w:sz w:val="32"/>
          <w:szCs w:val="32"/>
        </w:rPr>
        <w:t>沿</w:t>
      </w:r>
      <w:r>
        <w:rPr>
          <w:rFonts w:hint="eastAsia" w:ascii="仿宋_GB2312" w:hAnsi="仿宋_GB2312" w:eastAsia="仿宋_GB2312" w:cs="仿宋_GB2312"/>
          <w:snapToGrid w:val="0"/>
          <w:kern w:val="0"/>
          <w:sz w:val="32"/>
          <w:szCs w:val="32"/>
        </w:rPr>
        <w:t>环团圆山大道沿线布局。现已形成睿锦坊酿酒、西南管业、大愚治水、味美等品牌。重点发展特色食品、钙、装备制造等产业。</w:t>
      </w:r>
    </w:p>
    <w:p w14:paraId="3604B645">
      <w:pPr>
        <w:spacing w:line="560" w:lineRule="exact"/>
        <w:ind w:firstLine="640" w:firstLineChars="200"/>
        <w:rPr>
          <w:rFonts w:ascii="仿宋_GB2312" w:hAnsi="仿宋_GB2312" w:eastAsia="仿宋_GB2312" w:cs="仿宋_GB2312"/>
          <w:strike/>
          <w:sz w:val="32"/>
          <w:szCs w:val="32"/>
        </w:rPr>
      </w:pPr>
      <w:r>
        <w:rPr>
          <w:rFonts w:hint="eastAsia" w:ascii="微软雅黑" w:hAnsi="微软雅黑" w:eastAsia="微软雅黑"/>
          <w:b/>
          <w:bCs/>
          <w:sz w:val="32"/>
          <w:szCs w:val="32"/>
        </w:rPr>
        <w:t>两核：</w:t>
      </w:r>
      <w:r>
        <w:rPr>
          <w:rFonts w:hint="eastAsia" w:ascii="仿宋_GB2312" w:hAnsi="仿宋_GB2312" w:eastAsia="仿宋_GB2312" w:cs="仿宋_GB2312"/>
          <w:sz w:val="32"/>
          <w:szCs w:val="32"/>
        </w:rPr>
        <w:t>小寨坝产业核心区</w:t>
      </w:r>
      <w:r>
        <w:rPr>
          <w:rFonts w:hint="eastAsia" w:ascii="仿宋_GB2312" w:eastAsia="仿宋_GB2312" w:cs="Arial"/>
          <w:sz w:val="32"/>
          <w:szCs w:val="32"/>
        </w:rPr>
        <w:t>——现有磷化集团磷复肥、水溶肥等品牌。</w:t>
      </w:r>
      <w:r>
        <w:rPr>
          <w:rFonts w:hint="eastAsia" w:ascii="仿宋_GB2312" w:hAnsi="仿宋_GB2312" w:eastAsia="仿宋_GB2312" w:cs="仿宋_GB2312"/>
          <w:sz w:val="32"/>
          <w:szCs w:val="32"/>
        </w:rPr>
        <w:t>重点发展现代化工产品及其副产物综合利用、磷化工装备制造、节能环保、装备设计与工程服务等产业；永阳产业核心区</w:t>
      </w:r>
      <w:r>
        <w:rPr>
          <w:rFonts w:hint="eastAsia" w:ascii="仿宋_GB2312" w:eastAsia="仿宋_GB2312" w:cs="Arial"/>
          <w:sz w:val="32"/>
          <w:szCs w:val="32"/>
        </w:rPr>
        <w:t>——现有拜克、苗姑娘、黄南武、叶老大等产品品牌。</w:t>
      </w:r>
      <w:r>
        <w:rPr>
          <w:rFonts w:hint="eastAsia" w:ascii="仿宋_GB2312" w:hAnsi="仿宋_GB2312" w:eastAsia="仿宋_GB2312" w:cs="仿宋_GB2312"/>
          <w:sz w:val="32"/>
          <w:szCs w:val="32"/>
        </w:rPr>
        <w:t>重点发展特色食品、新医药、装备制造等产业。</w:t>
      </w:r>
    </w:p>
    <w:p w14:paraId="7FCF41A3">
      <w:pPr>
        <w:spacing w:line="560" w:lineRule="exact"/>
        <w:ind w:firstLine="640" w:firstLineChars="200"/>
        <w:rPr>
          <w:rFonts w:ascii="微软雅黑" w:hAnsi="微软雅黑" w:eastAsia="微软雅黑"/>
          <w:b/>
          <w:bCs/>
          <w:sz w:val="32"/>
          <w:szCs w:val="32"/>
        </w:rPr>
      </w:pPr>
      <w:r>
        <w:rPr>
          <w:rFonts w:hint="eastAsia" w:ascii="微软雅黑" w:hAnsi="微软雅黑" w:eastAsia="微软雅黑"/>
          <w:b/>
          <w:bCs/>
          <w:sz w:val="32"/>
          <w:szCs w:val="32"/>
        </w:rPr>
        <w:t>多点：</w:t>
      </w:r>
    </w:p>
    <w:p w14:paraId="0733BB5C">
      <w:pPr>
        <w:spacing w:line="560" w:lineRule="exact"/>
        <w:ind w:firstLine="643" w:firstLineChars="200"/>
        <w:rPr>
          <w:rFonts w:ascii="仿宋_GB2312" w:eastAsia="仿宋_GB2312" w:cs="Arial"/>
          <w:sz w:val="32"/>
          <w:szCs w:val="32"/>
        </w:rPr>
      </w:pPr>
      <w:r>
        <w:rPr>
          <w:rFonts w:hint="eastAsia" w:ascii="楷体_GB2312" w:hAnsi="楷体_GB2312" w:eastAsia="楷体_GB2312" w:cs="楷体_GB2312"/>
          <w:b/>
          <w:bCs/>
          <w:sz w:val="32"/>
          <w:szCs w:val="32"/>
        </w:rPr>
        <w:t>西山镇</w:t>
      </w:r>
      <w:r>
        <w:rPr>
          <w:rFonts w:hint="eastAsia" w:ascii="仿宋_GB2312" w:eastAsia="仿宋_GB2312" w:cs="Arial"/>
          <w:sz w:val="32"/>
          <w:szCs w:val="32"/>
        </w:rPr>
        <w:t>：现有兄弟联、西南管业等产品品牌。重点发展日用消费品、电子信息、旅游产品的开发生产。</w:t>
      </w:r>
    </w:p>
    <w:p w14:paraId="39BFD191">
      <w:pPr>
        <w:spacing w:line="560" w:lineRule="exact"/>
        <w:ind w:firstLine="643" w:firstLineChars="200"/>
        <w:rPr>
          <w:rFonts w:ascii="仿宋_GB2312" w:eastAsia="仿宋_GB2312" w:cs="Arial"/>
          <w:sz w:val="32"/>
          <w:szCs w:val="32"/>
        </w:rPr>
      </w:pPr>
      <w:r>
        <w:rPr>
          <w:rFonts w:hint="eastAsia" w:ascii="楷体_GB2312" w:hAnsi="楷体_GB2312" w:eastAsia="楷体_GB2312" w:cs="楷体_GB2312"/>
          <w:b/>
          <w:bCs/>
          <w:sz w:val="32"/>
          <w:szCs w:val="32"/>
        </w:rPr>
        <w:t>养龙司镇</w:t>
      </w:r>
      <w:r>
        <w:rPr>
          <w:rFonts w:hint="eastAsia" w:ascii="仿宋_GB2312" w:eastAsia="仿宋_GB2312" w:cs="Arial"/>
          <w:sz w:val="32"/>
          <w:szCs w:val="32"/>
        </w:rPr>
        <w:t>：现有正大饲料产品品牌。发展特色农产品深加工，承接小寨坝现代化工配套产业。</w:t>
      </w:r>
    </w:p>
    <w:p w14:paraId="613BF808">
      <w:pPr>
        <w:spacing w:line="560" w:lineRule="exact"/>
        <w:ind w:firstLine="643" w:firstLineChars="200"/>
        <w:rPr>
          <w:rFonts w:ascii="仿宋_GB2312" w:eastAsia="仿宋_GB2312" w:cs="Arial"/>
          <w:sz w:val="32"/>
          <w:szCs w:val="32"/>
        </w:rPr>
      </w:pPr>
      <w:r>
        <w:rPr>
          <w:rFonts w:hint="eastAsia" w:ascii="楷体_GB2312" w:hAnsi="楷体_GB2312" w:eastAsia="楷体_GB2312" w:cs="楷体_GB2312"/>
          <w:b/>
          <w:bCs/>
          <w:sz w:val="32"/>
          <w:szCs w:val="32"/>
        </w:rPr>
        <w:t>温泉镇</w:t>
      </w:r>
      <w:r>
        <w:rPr>
          <w:rFonts w:hint="eastAsia" w:ascii="仿宋_GB2312" w:eastAsia="仿宋_GB2312" w:cs="Arial"/>
          <w:sz w:val="32"/>
          <w:szCs w:val="32"/>
        </w:rPr>
        <w:t>：现有西洋复合肥、诺威施高效肥、鸿海建筑石膏粉等产品品牌。重点发展现代化工、新型建材、节能环保产业，完善磷石膏新型建材产业链。</w:t>
      </w:r>
    </w:p>
    <w:p w14:paraId="24B1F62D">
      <w:pPr>
        <w:spacing w:line="560" w:lineRule="exact"/>
        <w:ind w:firstLine="643" w:firstLineChars="200"/>
        <w:rPr>
          <w:rFonts w:ascii="仿宋_GB2312" w:eastAsia="仿宋_GB2312" w:cs="Arial"/>
          <w:sz w:val="32"/>
          <w:szCs w:val="32"/>
        </w:rPr>
      </w:pPr>
      <w:r>
        <w:rPr>
          <w:rFonts w:hint="eastAsia" w:ascii="楷体_GB2312" w:hAnsi="楷体_GB2312" w:eastAsia="楷体_GB2312" w:cs="楷体_GB2312"/>
          <w:b/>
          <w:bCs/>
          <w:sz w:val="32"/>
          <w:szCs w:val="32"/>
        </w:rPr>
        <w:t>石硐镇</w:t>
      </w:r>
      <w:r>
        <w:rPr>
          <w:rFonts w:hint="eastAsia" w:ascii="仿宋_GB2312" w:eastAsia="仿宋_GB2312" w:cs="Arial"/>
          <w:sz w:val="32"/>
          <w:szCs w:val="32"/>
        </w:rPr>
        <w:t>：现有长泰源纳米钙、中康猕猴桃等产品品牌，重点发展有机蔬果深加工和食品级、医疗级碳酸钙下游产业。</w:t>
      </w:r>
    </w:p>
    <w:p w14:paraId="1C15C441">
      <w:pPr>
        <w:spacing w:line="560" w:lineRule="exact"/>
        <w:ind w:firstLine="643" w:firstLineChars="200"/>
        <w:rPr>
          <w:rFonts w:ascii="仿宋_GB2312" w:eastAsia="仿宋_GB2312" w:cs="Arial"/>
          <w:sz w:val="32"/>
          <w:szCs w:val="32"/>
        </w:rPr>
      </w:pPr>
      <w:r>
        <w:rPr>
          <w:rFonts w:hint="eastAsia" w:ascii="楷体_GB2312" w:hAnsi="楷体_GB2312" w:eastAsia="楷体_GB2312" w:cs="楷体_GB2312"/>
          <w:b/>
          <w:bCs/>
          <w:sz w:val="32"/>
          <w:szCs w:val="32"/>
        </w:rPr>
        <w:t>九庄镇、青山苗族乡、流长镇、鹿窝镇</w:t>
      </w:r>
      <w:r>
        <w:rPr>
          <w:rFonts w:hint="eastAsia" w:ascii="仿宋_GB2312" w:eastAsia="仿宋_GB2312" w:cs="Arial"/>
          <w:sz w:val="32"/>
          <w:szCs w:val="32"/>
        </w:rPr>
        <w:t>：借助蔬菜、肉鸡种养殖发展，重点发展特色食品制造，推进农产品深加工产业发展。</w:t>
      </w:r>
    </w:p>
    <w:tbl>
      <w:tblPr>
        <w:tblStyle w:val="17"/>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8286"/>
      </w:tblGrid>
      <w:tr w14:paraId="460BC2B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2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top"/>
          </w:tcPr>
          <w:p w14:paraId="265AE0E6">
            <w:pPr>
              <w:spacing w:line="360" w:lineRule="auto"/>
              <w:ind w:firstLine="482" w:firstLineChars="20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专栏</w:t>
            </w:r>
            <w:r>
              <w:rPr>
                <w:rFonts w:ascii="仿宋_GB2312" w:hAnsi="仿宋_GB2312" w:eastAsia="仿宋_GB2312" w:cs="仿宋_GB2312"/>
                <w:b/>
                <w:bCs/>
                <w:kern w:val="0"/>
                <w:sz w:val="24"/>
                <w:szCs w:val="24"/>
              </w:rPr>
              <w:t xml:space="preserve"> 工业体系建设指标要素</w:t>
            </w:r>
          </w:p>
          <w:p w14:paraId="790AAFE5">
            <w:pPr>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1.规模以上工业增加值达增速年均</w:t>
            </w:r>
            <w:r>
              <w:rPr>
                <w:rFonts w:hint="eastAsia" w:ascii="仿宋_GB2312" w:hAnsi="仿宋_GB2312" w:eastAsia="仿宋_GB2312" w:cs="仿宋_GB2312"/>
                <w:kern w:val="0"/>
                <w:sz w:val="24"/>
                <w:szCs w:val="24"/>
                <w:lang w:val="en-US" w:eastAsia="zh-CN"/>
              </w:rPr>
              <w:t>10.2</w:t>
            </w:r>
            <w:r>
              <w:rPr>
                <w:rFonts w:hint="eastAsia" w:ascii="仿宋_GB2312" w:hAnsi="仿宋_GB2312" w:eastAsia="仿宋_GB2312" w:cs="仿宋_GB2312"/>
                <w:kern w:val="0"/>
                <w:sz w:val="24"/>
                <w:szCs w:val="24"/>
              </w:rPr>
              <w:t>%以上，实现工业投资150亿元；</w:t>
            </w:r>
          </w:p>
          <w:p w14:paraId="63852FAB">
            <w:pPr>
              <w:spacing w:line="360" w:lineRule="auto"/>
              <w:rPr>
                <w:rFonts w:ascii="仿宋_GB2312" w:hAnsi="仿宋_GB2312" w:eastAsia="仿宋_GB2312" w:cs="仿宋_GB2312"/>
                <w:color w:val="FF0000"/>
                <w:kern w:val="0"/>
                <w:sz w:val="24"/>
                <w:szCs w:val="24"/>
              </w:rPr>
            </w:pPr>
            <w:r>
              <w:rPr>
                <w:rFonts w:hint="eastAsia" w:ascii="仿宋_GB2312" w:hAnsi="仿宋_GB2312" w:eastAsia="仿宋_GB2312" w:cs="仿宋_GB2312"/>
                <w:kern w:val="0"/>
                <w:sz w:val="24"/>
                <w:szCs w:val="24"/>
              </w:rPr>
              <w:t xml:space="preserve">    2.</w:t>
            </w:r>
            <w:r>
              <w:rPr>
                <w:rFonts w:hint="eastAsia" w:ascii="仿宋_GB2312" w:hAnsi="仿宋_GB2312" w:eastAsia="仿宋_GB2312" w:cs="仿宋_GB2312"/>
                <w:color w:val="000000"/>
                <w:kern w:val="0"/>
                <w:sz w:val="24"/>
                <w:szCs w:val="24"/>
              </w:rPr>
              <w:t>综合科技进步指数达78%</w:t>
            </w:r>
            <w:r>
              <w:rPr>
                <w:rFonts w:ascii="仿宋_GB2312" w:hAnsi="仿宋_GB2312" w:eastAsia="仿宋_GB2312" w:cs="仿宋_GB2312"/>
                <w:color w:val="000000"/>
                <w:kern w:val="0"/>
                <w:sz w:val="24"/>
                <w:szCs w:val="24"/>
              </w:rPr>
              <w:t>；</w:t>
            </w:r>
          </w:p>
          <w:p w14:paraId="71F1D394">
            <w:pPr>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3.单位工业增加值能耗下降幅度、单位工业增加值用水量下降幅度、工业主要污染物下降幅度均达省市级要求，工业固体废物综合利用率达98%。</w:t>
            </w:r>
          </w:p>
        </w:tc>
      </w:tr>
    </w:tbl>
    <w:p w14:paraId="153527E1">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379" w:name="_Toc49344393"/>
      <w:bookmarkStart w:id="380" w:name="_Toc1422"/>
      <w:bookmarkStart w:id="381" w:name="_Toc30985"/>
      <w:bookmarkStart w:id="382" w:name="_Toc15061"/>
      <w:bookmarkStart w:id="383" w:name="_Toc19353"/>
      <w:bookmarkStart w:id="384" w:name="_Toc13351"/>
      <w:bookmarkStart w:id="385" w:name="_Toc25386"/>
      <w:bookmarkStart w:id="386" w:name="_Toc8052"/>
      <w:bookmarkStart w:id="387" w:name="_Toc9418"/>
      <w:bookmarkStart w:id="388" w:name="_Toc3821"/>
      <w:bookmarkStart w:id="389" w:name="_Toc25842"/>
      <w:bookmarkStart w:id="390" w:name="_Toc2903"/>
      <w:bookmarkStart w:id="391" w:name="_Toc18662"/>
      <w:bookmarkStart w:id="392" w:name="_Toc4118"/>
      <w:bookmarkStart w:id="393" w:name="_Toc3551"/>
      <w:bookmarkStart w:id="394" w:name="_Toc61193810"/>
      <w:bookmarkStart w:id="395" w:name="_Toc58580307"/>
      <w:r>
        <w:rPr>
          <w:rFonts w:hint="eastAsia" w:ascii="方正小标宋简体" w:hAnsi="方正小标宋简体" w:eastAsia="方正小标宋简体" w:cs="方正小标宋简体"/>
          <w:b w:val="0"/>
          <w:bCs w:val="0"/>
          <w:kern w:val="0"/>
        </w:rPr>
        <w:t xml:space="preserve">第二节  </w:t>
      </w:r>
      <w:bookmarkStart w:id="396" w:name="_Toc9"/>
      <w:bookmarkStart w:id="397" w:name="_Toc46151266"/>
      <w:r>
        <w:rPr>
          <w:rFonts w:hint="eastAsia" w:ascii="方正小标宋简体" w:hAnsi="方正小标宋简体" w:eastAsia="方正小标宋简体" w:cs="方正小标宋简体"/>
          <w:b w:val="0"/>
          <w:bCs w:val="0"/>
          <w:kern w:val="0"/>
        </w:rPr>
        <w:t>加快做强七大产业</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276402B">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sz w:val="32"/>
          <w:szCs w:val="32"/>
        </w:rPr>
        <w:t>以现代化工、新型建材两大产业作为首位产业，着力打造</w:t>
      </w:r>
      <w:r>
        <w:rPr>
          <w:rFonts w:hint="eastAsia" w:ascii="黑体" w:hAnsi="黑体" w:eastAsia="黑体"/>
          <w:b/>
          <w:bCs/>
          <w:color w:val="000000"/>
          <w:sz w:val="32"/>
          <w:szCs w:val="32"/>
        </w:rPr>
        <w:t>两个百亿级</w:t>
      </w:r>
      <w:r>
        <w:rPr>
          <w:rFonts w:hint="eastAsia" w:ascii="仿宋_GB2312" w:hAnsi="仿宋_GB2312" w:eastAsia="仿宋_GB2312" w:cs="仿宋_GB2312"/>
          <w:color w:val="000000"/>
          <w:sz w:val="32"/>
          <w:szCs w:val="32"/>
        </w:rPr>
        <w:t>产业集群、</w:t>
      </w:r>
      <w:r>
        <w:rPr>
          <w:rFonts w:hint="eastAsia" w:ascii="黑体" w:hAnsi="黑体" w:eastAsia="黑体"/>
          <w:b/>
          <w:bCs/>
          <w:color w:val="000000"/>
          <w:sz w:val="32"/>
          <w:szCs w:val="32"/>
        </w:rPr>
        <w:t>五个十亿级</w:t>
      </w:r>
      <w:r>
        <w:rPr>
          <w:rFonts w:hint="eastAsia" w:ascii="仿宋_GB2312" w:hAnsi="仿宋_GB2312" w:eastAsia="仿宋_GB2312" w:cs="仿宋_GB2312"/>
          <w:color w:val="000000"/>
          <w:sz w:val="32"/>
          <w:szCs w:val="32"/>
        </w:rPr>
        <w:t>产业集群。推动“2+5”产业体系加快形成，形成以高端化、绿色化、集约化为特征的新型工业化体系。</w:t>
      </w:r>
      <w:r>
        <w:rPr>
          <w:rFonts w:hint="eastAsia" w:ascii="仿宋_GB2312" w:hAnsi="仿宋_GB2312" w:eastAsia="仿宋_GB2312" w:cs="仿宋_GB2312"/>
          <w:sz w:val="32"/>
          <w:szCs w:val="32"/>
        </w:rPr>
        <w:t>到2025年，</w:t>
      </w:r>
      <w:r>
        <w:rPr>
          <w:rFonts w:hint="eastAsia" w:ascii="仿宋_GB2312" w:hAnsi="仿宋_GB2312" w:eastAsia="仿宋_GB2312" w:cs="仿宋_GB2312"/>
          <w:color w:val="000000"/>
          <w:sz w:val="32"/>
          <w:szCs w:val="32"/>
        </w:rPr>
        <w:t>力争</w:t>
      </w:r>
      <w:r>
        <w:rPr>
          <w:rFonts w:hint="eastAsia" w:ascii="仿宋_GB2312" w:eastAsia="仿宋_GB2312"/>
          <w:color w:val="000000"/>
          <w:sz w:val="32"/>
          <w:szCs w:val="32"/>
        </w:rPr>
        <w:t>培育10个以上中高端制造业品牌。</w:t>
      </w:r>
      <w:r>
        <w:rPr>
          <w:rFonts w:hint="eastAsia" w:ascii="仿宋_GB2312" w:hAnsi="仿宋_GB2312" w:eastAsia="仿宋_GB2312" w:cs="仿宋_GB2312"/>
          <w:sz w:val="32"/>
          <w:szCs w:val="32"/>
        </w:rPr>
        <w:t>现代化工产值达到110亿元，新型建材产业产值达到100亿元，新医药产业产值达到40亿元，特色食品、装备制造、节能环保、日用消费品等产业产值达到1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亿元。</w:t>
      </w:r>
    </w:p>
    <w:p w14:paraId="72AFDD94">
      <w:pPr>
        <w:keepNext/>
        <w:keepLines/>
        <w:spacing w:line="560" w:lineRule="exact"/>
        <w:ind w:firstLine="643" w:firstLineChars="200"/>
        <w:outlineLvl w:val="2"/>
        <w:rPr>
          <w:rFonts w:ascii="楷体_GB2312" w:hAnsi="楷体_GB2312" w:eastAsia="楷体_GB2312" w:cs="楷体_GB2312"/>
          <w:b/>
          <w:bCs/>
          <w:sz w:val="32"/>
          <w:szCs w:val="32"/>
        </w:rPr>
      </w:pPr>
      <w:bookmarkStart w:id="398" w:name="_Toc30752"/>
      <w:r>
        <w:rPr>
          <w:rFonts w:hint="eastAsia" w:ascii="黑体" w:hAnsi="黑体" w:eastAsia="黑体"/>
          <w:b/>
          <w:bCs/>
          <w:sz w:val="32"/>
          <w:szCs w:val="32"/>
        </w:rPr>
        <w:t>一、发展现代化工</w:t>
      </w:r>
      <w:bookmarkEnd w:id="398"/>
      <w:r>
        <w:rPr>
          <w:rFonts w:hint="eastAsia" w:ascii="黑体" w:hAnsi="黑体" w:eastAsia="黑体"/>
          <w:b/>
          <w:bCs/>
          <w:sz w:val="32"/>
          <w:szCs w:val="32"/>
        </w:rPr>
        <w:t>产业</w:t>
      </w:r>
    </w:p>
    <w:p w14:paraId="0804E5A3">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巩固发展基础化工</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加快磷化工产品结构调整，逐步减少初级大宗产品占比，将传统产品生产比重下调至40%以下，巩固现有产业综合竞争力基础，推进磷复肥深加工和精细化生产，提高资源利用率，减少废气资源产生量，发展新型高效的磷复肥产品。到2025年，围绕磷化集团息烽园区和西洋实业，打造成以新型化肥为主、高浓度磷复肥为辅、配套其他基础化学品齐全的国内现代磷肥化工基地，支持西洋实业有限公司实施30万吨/年生物菌肥和50万吨/年智能肥等项目。</w:t>
      </w:r>
    </w:p>
    <w:p w14:paraId="24998D7E">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深入发展精细化工</w:t>
      </w:r>
      <w:r>
        <w:rPr>
          <w:rFonts w:hint="eastAsia" w:ascii="楷体_GB2312" w:hAnsi="楷体_GB2312" w:eastAsia="楷体_GB2312" w:cs="楷体_GB2312"/>
          <w:sz w:val="32"/>
          <w:szCs w:val="32"/>
        </w:rPr>
        <w:t>。</w:t>
      </w:r>
      <w:r>
        <w:rPr>
          <w:rFonts w:hint="eastAsia" w:ascii="仿宋_GB2312" w:eastAsia="仿宋_GB2312" w:cs="Times New Roman"/>
          <w:sz w:val="32"/>
          <w:szCs w:val="32"/>
        </w:rPr>
        <w:t>大力发展磷精细酸盐，加快升级磷酸生产技术，发展食品级、饲料级磷酸盐，做强、做优各类磷系阻燃剂。推动40万吨湿法磷酸提纯净化、</w:t>
      </w:r>
      <w:r>
        <w:rPr>
          <w:rFonts w:ascii="仿宋_GB2312" w:eastAsia="仿宋_GB2312" w:cs="Times New Roman"/>
          <w:sz w:val="32"/>
          <w:szCs w:val="32"/>
        </w:rPr>
        <w:t>2</w:t>
      </w:r>
      <w:r>
        <w:rPr>
          <w:rFonts w:hint="eastAsia" w:ascii="仿宋_GB2312" w:eastAsia="仿宋_GB2312" w:cs="Times New Roman"/>
          <w:sz w:val="32"/>
          <w:szCs w:val="32"/>
        </w:rPr>
        <w:t>0万吨饲料级氢钙等项目建设。以磷资源精深加工为主导，促进产业逐步向资源深加工、产品精细化方向转变。选取有机硅、氟和碘化工为重点发展方向，推进磷矿伴生资源综合利用。依托副产物碘，为下游食品碘制剂、农作物生产激素、医药用产品、催化剂等产品提供原材料，推动年产3万吨无水氟化氢等磷伴生资源利用项目建设。</w:t>
      </w:r>
    </w:p>
    <w:p w14:paraId="0C3779E9">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配套发展磷化工关联产业</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推动氯碱、合成氨、磷矿开采技术升级改造，引进现代煤化工和氯碱化工新技术，提升磷煤化工产业技术和产品质量，加快现代化工产业发展。利用湿法磷酸、氟硅材料品种、磷酸电池磨料及耐火材料发展磷系新材料，为国家光学、化学、电子信息新型电池等高精尖加工提供原材料基础，拉长产业链条，提高经济效益。</w:t>
      </w:r>
    </w:p>
    <w:p w14:paraId="0CC99505">
      <w:pPr>
        <w:keepNext/>
        <w:keepLines/>
        <w:spacing w:line="560" w:lineRule="exact"/>
        <w:ind w:firstLine="643" w:firstLineChars="200"/>
        <w:outlineLvl w:val="2"/>
        <w:rPr>
          <w:rFonts w:ascii="黑体" w:hAnsi="黑体" w:eastAsia="黑体"/>
          <w:b/>
          <w:bCs/>
          <w:sz w:val="32"/>
          <w:szCs w:val="32"/>
        </w:rPr>
      </w:pPr>
      <w:bookmarkStart w:id="399" w:name="_Toc1045"/>
      <w:r>
        <w:rPr>
          <w:rFonts w:hint="eastAsia" w:ascii="黑体" w:hAnsi="黑体" w:eastAsia="黑体"/>
          <w:b/>
          <w:bCs/>
          <w:sz w:val="32"/>
          <w:szCs w:val="32"/>
        </w:rPr>
        <w:t>二、发展新型建材产业</w:t>
      </w:r>
      <w:bookmarkEnd w:id="399"/>
    </w:p>
    <w:p w14:paraId="5715D779">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以装配式建筑+新型建材为重点方向，着力培育石膏新型建材产业，配套发展新型管材、利废环境功能材料等建材产品为主的产业，打造关联耦合、相互衔接的新型绿色建材产业链。</w:t>
      </w:r>
    </w:p>
    <w:p w14:paraId="44B283B6">
      <w:pPr>
        <w:spacing w:line="56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发展装配式建筑产业</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加快形成以装配式结构部品、装配式围护部品、全装修部品为主的装配式建筑部品体系。重点支持中建科技等企业进行基地建设及市场开拓，配套引进建筑行业部品、部件生产企业，加快制造轻质、高强、隔热、环保型墙体、家具等产品。</w:t>
      </w:r>
    </w:p>
    <w:p w14:paraId="39CA918D">
      <w:pPr>
        <w:spacing w:line="56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强化磷石膏资源综合利用产业</w:t>
      </w:r>
      <w:r>
        <w:rPr>
          <w:rFonts w:hint="eastAsia" w:ascii="仿宋_GB2312" w:hAnsi="仿宋_GB2312" w:eastAsia="仿宋_GB2312" w:cs="仿宋_GB2312"/>
          <w:sz w:val="32"/>
          <w:szCs w:val="32"/>
        </w:rPr>
        <w:t>。坚持“以渣定产”，加大磷石膏资源的循环与综合利用。支持发展建筑石膏粉、改性磷石膏轻质隔墙条板、石膏基预拌抹灰砂浆、无纸面石膏板、自流平石膏及玻化微珠等磷石膏建材配套产品。在现有磷石膏产业基础上，发展扩大产业规模，做优磷石膏产品品质，培育出一批具有市场竞争力的地方品牌。到2025年，实现磷石膏资源综合利用能力突破800万吨/年。</w:t>
      </w:r>
    </w:p>
    <w:p w14:paraId="6736D2FF">
      <w:pPr>
        <w:spacing w:line="56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支持传统建材行业创新发展</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推动建材产业从信息模式转向智能模式转变，注重精细化产业发展，大力研发绿色建材，智能制定，着力推动</w:t>
      </w:r>
      <w:r>
        <w:rPr>
          <w:rFonts w:ascii="仿宋_GB2312" w:hAnsi="仿宋_GB2312" w:eastAsia="仿宋_GB2312" w:cs="仿宋_GB2312"/>
          <w:sz w:val="32"/>
          <w:szCs w:val="32"/>
        </w:rPr>
        <w:t>BIM云的广泛应用，打造房屋智能定制、智慧建造共享经济模式。</w:t>
      </w:r>
      <w:r>
        <w:rPr>
          <w:rFonts w:hint="eastAsia" w:ascii="仿宋_GB2312" w:hAnsi="仿宋_GB2312" w:eastAsia="仿宋_GB2312" w:cs="仿宋_GB2312"/>
          <w:sz w:val="32"/>
          <w:szCs w:val="32"/>
        </w:rPr>
        <w:t>积极推进传统建材企业引进</w:t>
      </w:r>
      <w:r>
        <w:rPr>
          <w:rFonts w:ascii="仿宋_GB2312" w:hAnsi="仿宋_GB2312" w:eastAsia="仿宋_GB2312" w:cs="仿宋_GB2312"/>
          <w:sz w:val="32"/>
          <w:szCs w:val="32"/>
        </w:rPr>
        <w:t>BIM等新兴技术</w:t>
      </w:r>
      <w:r>
        <w:rPr>
          <w:rFonts w:hint="eastAsia" w:ascii="仿宋_GB2312" w:hAnsi="仿宋_GB2312" w:eastAsia="仿宋_GB2312" w:cs="仿宋_GB2312"/>
          <w:sz w:val="32"/>
          <w:szCs w:val="32"/>
        </w:rPr>
        <w:t>进行运用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鼓励部分</w:t>
      </w:r>
      <w:r>
        <w:rPr>
          <w:rFonts w:ascii="仿宋_GB2312" w:hAnsi="仿宋_GB2312" w:eastAsia="仿宋_GB2312" w:cs="仿宋_GB2312"/>
          <w:sz w:val="32"/>
          <w:szCs w:val="32"/>
        </w:rPr>
        <w:t>企业通过兼并重组，进一步延伸产业链。</w:t>
      </w:r>
      <w:r>
        <w:rPr>
          <w:rFonts w:hint="eastAsia" w:ascii="仿宋_GB2312" w:hAnsi="仿宋_GB2312" w:eastAsia="仿宋_GB2312" w:cs="仿宋_GB2312"/>
          <w:sz w:val="32"/>
          <w:szCs w:val="32"/>
        </w:rPr>
        <w:t>重点支持西南管业、大愚智水、众德益、等企业信息化发展，推动预应力钢筋混凝土管道、PSP钢塑复合压力管、石材加工等项目建设及产品推广应用。支持贵州磷镁材料公司磷镁基特种材料推广应用、贵州长泰源纳米钙业公司钙产业链条拓展。</w:t>
      </w:r>
    </w:p>
    <w:p w14:paraId="4D7299DF">
      <w:pPr>
        <w:keepNext/>
        <w:keepLines/>
        <w:spacing w:line="560" w:lineRule="exact"/>
        <w:ind w:firstLine="643" w:firstLineChars="200"/>
        <w:outlineLvl w:val="2"/>
        <w:rPr>
          <w:rFonts w:ascii="黑体" w:hAnsi="黑体" w:eastAsia="黑体"/>
          <w:b/>
          <w:bCs/>
          <w:sz w:val="32"/>
          <w:szCs w:val="32"/>
        </w:rPr>
      </w:pPr>
      <w:bookmarkStart w:id="400" w:name="_Toc5435"/>
      <w:r>
        <w:rPr>
          <w:rFonts w:hint="eastAsia" w:ascii="黑体" w:hAnsi="黑体" w:eastAsia="黑体"/>
          <w:b/>
          <w:bCs/>
          <w:sz w:val="32"/>
          <w:szCs w:val="32"/>
        </w:rPr>
        <w:t>三、发展特色食品</w:t>
      </w:r>
      <w:bookmarkEnd w:id="400"/>
      <w:r>
        <w:rPr>
          <w:rFonts w:hint="eastAsia" w:ascii="黑体" w:hAnsi="黑体" w:eastAsia="黑体"/>
          <w:b/>
          <w:bCs/>
          <w:sz w:val="32"/>
          <w:szCs w:val="32"/>
        </w:rPr>
        <w:t>产业</w:t>
      </w:r>
    </w:p>
    <w:p w14:paraId="7BCA6E1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依托黄南武、叶老大、味美、苗姑娘等规模以上食品企业，加快打造息烽特色食品品牌，构建“种植——科研——加工——营销——出口”的全产业链。建成睿锦坊酿酒、安佑饲料生产线等重点特色食品项目，发展一批以果饮、果酒等农特产品为主的深加工企业（项目），形成工业与农业高度融合。加快息烽特色天然饮用水产业发展，依托息烽“含偏硅酸和锶的重碳酸钙型可饮用氡泉”资源，加大本土水资源加工企业扶持力度，培育1-2家具有龙头引领作用的高端水制造企业，形成品牌效应。</w:t>
      </w:r>
    </w:p>
    <w:p w14:paraId="7279699E">
      <w:pPr>
        <w:keepNext/>
        <w:keepLines/>
        <w:spacing w:line="560" w:lineRule="exact"/>
        <w:ind w:firstLine="643" w:firstLineChars="200"/>
        <w:outlineLvl w:val="2"/>
        <w:rPr>
          <w:rFonts w:ascii="黑体" w:hAnsi="黑体" w:eastAsia="黑体"/>
          <w:b/>
          <w:bCs/>
          <w:sz w:val="32"/>
          <w:szCs w:val="32"/>
        </w:rPr>
      </w:pPr>
      <w:bookmarkStart w:id="401" w:name="_Toc19878"/>
      <w:r>
        <w:rPr>
          <w:rFonts w:hint="eastAsia" w:ascii="黑体" w:hAnsi="黑体" w:eastAsia="黑体"/>
          <w:b/>
          <w:bCs/>
          <w:sz w:val="32"/>
          <w:szCs w:val="32"/>
        </w:rPr>
        <w:t>四、发展新医药</w:t>
      </w:r>
      <w:bookmarkEnd w:id="401"/>
      <w:r>
        <w:rPr>
          <w:rFonts w:hint="eastAsia" w:ascii="黑体" w:hAnsi="黑体" w:eastAsia="黑体"/>
          <w:b/>
          <w:bCs/>
          <w:sz w:val="32"/>
          <w:szCs w:val="32"/>
        </w:rPr>
        <w:t>制造业</w:t>
      </w:r>
    </w:p>
    <w:p w14:paraId="4A1CBC37">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重点发展化学药。</w:t>
      </w:r>
      <w:r>
        <w:rPr>
          <w:rFonts w:hint="eastAsia" w:ascii="仿宋_GB2312" w:hAnsi="仿宋_GB2312" w:eastAsia="仿宋_GB2312" w:cs="仿宋_GB2312"/>
          <w:sz w:val="32"/>
          <w:szCs w:val="32"/>
        </w:rPr>
        <w:t>紧紧抓住贵阳市化学原料药基地建设项目为契机，</w:t>
      </w:r>
      <w:r>
        <w:rPr>
          <w:rFonts w:hint="eastAsia" w:ascii="仿宋_GB2312" w:eastAsia="仿宋_GB2312" w:cs="Times New Roman"/>
          <w:sz w:val="32"/>
          <w:szCs w:val="32"/>
        </w:rPr>
        <w:t>积极推进有条件的企业向低污染、低能耗和高附加值配套化学原料药方向发展，加快化学原料药基地项目建设，引进一批化药原料药企业入驻，打造大健康新医药产业集聚区。</w:t>
      </w:r>
      <w:r>
        <w:rPr>
          <w:rFonts w:hint="eastAsia" w:ascii="仿宋_GB2312" w:hAnsi="仿宋_GB2312" w:eastAsia="仿宋_GB2312" w:cs="仿宋_GB2312"/>
          <w:sz w:val="32"/>
          <w:szCs w:val="32"/>
        </w:rPr>
        <w:t>到2025年，基地建设总体规模达4084亩，力争发展成3-5家化学药龙头企业，形成具有国际竞争力的化学原料药生产基地。</w:t>
      </w:r>
    </w:p>
    <w:p w14:paraId="58C67C8B">
      <w:pPr>
        <w:spacing w:line="560" w:lineRule="exact"/>
        <w:ind w:firstLine="643" w:firstLineChars="200"/>
        <w:rPr>
          <w:rFonts w:ascii="华文琥珀" w:hAnsi="华文琥珀" w:eastAsia="华文琥珀" w:cs="华文琥珀"/>
          <w:sz w:val="32"/>
          <w:szCs w:val="32"/>
        </w:rPr>
      </w:pPr>
      <w:r>
        <w:rPr>
          <w:rFonts w:hint="eastAsia" w:ascii="楷体_GB2312" w:hAnsi="楷体_GB2312" w:eastAsia="楷体_GB2312" w:cs="楷体_GB2312"/>
          <w:b/>
          <w:bCs/>
          <w:sz w:val="32"/>
          <w:szCs w:val="32"/>
        </w:rPr>
        <w:t>大力发展中医药。</w:t>
      </w:r>
      <w:r>
        <w:rPr>
          <w:rFonts w:hint="eastAsia" w:ascii="仿宋_GB2312" w:hAnsi="仿宋_GB2312" w:eastAsia="仿宋_GB2312" w:cs="仿宋_GB2312"/>
          <w:sz w:val="32"/>
          <w:szCs w:val="32"/>
        </w:rPr>
        <w:t>抢抓国家大力支持中医药发展契机，依托息烽县民间药、苗药等药方资源，以永靖镇医药产业园为核心，以贵州太和药业有限公司等为龙头企业，培育新兴产业，重点发展中成药、中药饮片、民族药、植物提取物等大健康医药衍生产品，助力中医药产业集聚。</w:t>
      </w:r>
    </w:p>
    <w:p w14:paraId="7C1AA025">
      <w:pPr>
        <w:keepNext/>
        <w:keepLines/>
        <w:spacing w:line="560" w:lineRule="exact"/>
        <w:ind w:firstLine="643" w:firstLineChars="200"/>
        <w:outlineLvl w:val="2"/>
        <w:rPr>
          <w:rFonts w:ascii="楷体_GB2312" w:hAnsi="楷体_GB2312" w:eastAsia="楷体_GB2312" w:cs="楷体_GB2312"/>
          <w:b/>
          <w:bCs/>
          <w:sz w:val="32"/>
          <w:szCs w:val="32"/>
        </w:rPr>
      </w:pPr>
      <w:r>
        <w:rPr>
          <w:rFonts w:hint="eastAsia" w:ascii="黑体" w:hAnsi="黑体" w:eastAsia="黑体"/>
          <w:b/>
          <w:bCs/>
          <w:sz w:val="32"/>
          <w:szCs w:val="32"/>
        </w:rPr>
        <w:t>五、发展装备制造产业</w:t>
      </w:r>
    </w:p>
    <w:p w14:paraId="7809798C">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供暖设施、保温管、化工装备制造。</w:t>
      </w:r>
      <w:r>
        <w:rPr>
          <w:rFonts w:hint="eastAsia" w:ascii="仿宋_GB2312" w:hAnsi="仿宋_GB2312" w:eastAsia="仿宋_GB2312" w:cs="仿宋_GB2312"/>
          <w:sz w:val="32"/>
          <w:szCs w:val="32"/>
        </w:rPr>
        <w:t>重点发展与现代化工、新材料、节能环保、新能源、新基建等设备相关的工业装备制造，主要包括管件、罐体等非标准件的加工、制造、安装。引导现有企业对生产过程中自行研发的专用设备进行标准化包装，建设生产线实现量产。</w:t>
      </w:r>
      <w:bookmarkStart w:id="402" w:name="_Toc11156"/>
      <w:r>
        <w:rPr>
          <w:rFonts w:hint="eastAsia" w:ascii="楷体_GB2312" w:hAnsi="楷体_GB2312" w:eastAsia="楷体_GB2312" w:cs="楷体_GB2312"/>
          <w:b/>
          <w:bCs/>
          <w:sz w:val="32"/>
          <w:szCs w:val="32"/>
        </w:rPr>
        <w:t>培育部品部件等系列产品。</w:t>
      </w:r>
      <w:r>
        <w:rPr>
          <w:rFonts w:hint="eastAsia" w:ascii="仿宋_GB2312" w:hAnsi="仿宋_GB2312" w:eastAsia="仿宋_GB2312" w:cs="仿宋_GB2312"/>
          <w:sz w:val="32"/>
          <w:szCs w:val="32"/>
        </w:rPr>
        <w:t>依托贵阳拜克汽车零部件公司、贵阳至锐工具公司及贵州鸿丰科技公司，加快发展汽车制动系统、汽车刹车配件、高速合金钻头镐钎和灯具制造等五金供需系列产品。</w:t>
      </w:r>
      <w:bookmarkEnd w:id="402"/>
      <w:r>
        <w:rPr>
          <w:rFonts w:hint="eastAsia" w:ascii="楷体_GB2312" w:hAnsi="楷体_GB2312" w:eastAsia="楷体_GB2312" w:cs="楷体_GB2312"/>
          <w:b/>
          <w:bCs/>
          <w:sz w:val="32"/>
          <w:szCs w:val="32"/>
        </w:rPr>
        <w:t>加快智能制造装备应用。</w:t>
      </w:r>
      <w:r>
        <w:rPr>
          <w:rFonts w:hint="eastAsia" w:ascii="仿宋_GB2312" w:hAnsi="仿宋_GB2312" w:eastAsia="仿宋_GB2312" w:cs="仿宋_GB2312"/>
          <w:sz w:val="32"/>
          <w:szCs w:val="32"/>
        </w:rPr>
        <w:t>开展机器人核心技术的研发和产业化应用，加快实施以工业机器人、高档数控机床等智能化装备在化工、医药、特色食品、新型建材等重点领域应用。</w:t>
      </w:r>
    </w:p>
    <w:p w14:paraId="561B999A">
      <w:pPr>
        <w:keepNext/>
        <w:keepLines/>
        <w:spacing w:line="560" w:lineRule="exact"/>
        <w:ind w:firstLine="643" w:firstLineChars="200"/>
        <w:outlineLvl w:val="2"/>
        <w:rPr>
          <w:rFonts w:ascii="楷体_GB2312" w:hAnsi="楷体_GB2312" w:eastAsia="楷体_GB2312" w:cs="楷体_GB2312"/>
          <w:b/>
          <w:bCs/>
          <w:sz w:val="32"/>
          <w:szCs w:val="32"/>
        </w:rPr>
      </w:pPr>
      <w:bookmarkStart w:id="403" w:name="_Toc32764"/>
      <w:r>
        <w:rPr>
          <w:rFonts w:hint="eastAsia" w:ascii="黑体" w:hAnsi="黑体" w:eastAsia="黑体"/>
          <w:b/>
          <w:bCs/>
          <w:sz w:val="32"/>
          <w:szCs w:val="32"/>
        </w:rPr>
        <w:t>六、发展节能环保产业</w:t>
      </w:r>
      <w:bookmarkEnd w:id="403"/>
    </w:p>
    <w:p w14:paraId="06F107F5">
      <w:pPr>
        <w:tabs>
          <w:tab w:val="center" w:pos="4153"/>
          <w:tab w:val="right" w:pos="830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引进生产和资源综合利用互补性中高端产业。引进太阳能光伏、动力蓄电池、碳纤维材料等产业，支持建设废弃物的资源化利用及无害化处理，鼓励企业研发和应用智能型回收设备。</w:t>
      </w:r>
      <w:r>
        <w:rPr>
          <w:rFonts w:hint="eastAsia" w:ascii="仿宋_GB2312" w:hAnsi="仿宋_GB2312" w:eastAsia="仿宋_GB2312" w:cs="仿宋_GB2312"/>
          <w:kern w:val="0"/>
          <w:sz w:val="32"/>
          <w:szCs w:val="32"/>
        </w:rPr>
        <w:t>积极引进北京扬德新能源风力发电、国家电投集团贵州金元威宁能源等公司，利用南山、西山、乌江沿岸等区域风力优势条件建设发电项目</w:t>
      </w:r>
      <w:r>
        <w:rPr>
          <w:rFonts w:hint="eastAsia" w:ascii="仿宋_GB2312" w:hAnsi="仿宋_GB2312" w:eastAsia="仿宋_GB2312" w:cs="仿宋_GB2312"/>
          <w:sz w:val="32"/>
          <w:szCs w:val="32"/>
        </w:rPr>
        <w:t>。支持西南管业10万吨/年铝盐净水剂项目、</w:t>
      </w:r>
      <w:r>
        <w:rPr>
          <w:rFonts w:hint="eastAsia" w:ascii="仿宋_GB2312" w:hAnsi="仿宋_GB2312" w:eastAsia="仿宋_GB2312" w:cs="仿宋_GB2312"/>
          <w:color w:val="000000"/>
          <w:sz w:val="32"/>
          <w:szCs w:val="32"/>
        </w:rPr>
        <w:t>天时佳利6万</w:t>
      </w:r>
      <w:r>
        <w:rPr>
          <w:rFonts w:hint="eastAsia" w:ascii="仿宋_GB2312" w:hAnsi="仿宋_GB2312" w:eastAsia="仿宋_GB2312" w:cs="仿宋_GB2312"/>
          <w:sz w:val="32"/>
          <w:szCs w:val="32"/>
        </w:rPr>
        <w:t>吨/年废润滑油收集储存再生资源综合利用项目、废旧汽车拆解项目建设。</w:t>
      </w:r>
    </w:p>
    <w:p w14:paraId="08B7C9CA">
      <w:pPr>
        <w:keepNext/>
        <w:keepLines/>
        <w:spacing w:line="560" w:lineRule="exact"/>
        <w:ind w:firstLine="643" w:firstLineChars="200"/>
        <w:outlineLvl w:val="2"/>
        <w:rPr>
          <w:rFonts w:ascii="黑体" w:hAnsi="黑体" w:eastAsia="黑体"/>
          <w:b/>
          <w:bCs/>
          <w:sz w:val="32"/>
          <w:szCs w:val="32"/>
        </w:rPr>
      </w:pPr>
      <w:r>
        <w:rPr>
          <w:rFonts w:hint="eastAsia" w:ascii="黑体" w:hAnsi="黑体" w:eastAsia="黑体"/>
          <w:b/>
          <w:bCs/>
          <w:sz w:val="32"/>
          <w:szCs w:val="32"/>
        </w:rPr>
        <w:t>七、发展日用消费品产业</w:t>
      </w:r>
    </w:p>
    <w:p w14:paraId="10A7786B">
      <w:pPr>
        <w:spacing w:line="560" w:lineRule="exact"/>
        <w:ind w:firstLine="640" w:firstLineChars="200"/>
        <w:rPr>
          <w:rFonts w:ascii="仿宋_GB2312" w:hAnsi="仿宋_GB2312" w:eastAsia="仿宋_GB2312" w:cs="仿宋_GB2312"/>
          <w:kern w:val="0"/>
          <w:sz w:val="32"/>
          <w:szCs w:val="32"/>
        </w:rPr>
      </w:pPr>
      <w:bookmarkStart w:id="404" w:name="_Toc46151267"/>
      <w:r>
        <w:rPr>
          <w:rFonts w:hint="eastAsia" w:ascii="仿宋_GB2312" w:hAnsi="仿宋_GB2312" w:eastAsia="仿宋_GB2312" w:cs="仿宋_GB2312"/>
          <w:sz w:val="32"/>
          <w:szCs w:val="32"/>
        </w:rPr>
        <w:t>重点发展母婴用品、餐厨用品、旅行箱包、眼镜等日用消费品产业。通过引进一批科技含量高、附加值高、设计精美、制作精细、性能优越的日用消费品项目，重点培育日用消费品品种，支持企业在产品开发、外观设计、产品包装、市场营销创新发展，开展个性化定制、柔性化生产。</w:t>
      </w:r>
      <w:bookmarkEnd w:id="404"/>
      <w:r>
        <w:rPr>
          <w:rFonts w:hint="eastAsia" w:ascii="仿宋_GB2312" w:hAnsi="仿宋_GB2312" w:eastAsia="仿宋_GB2312" w:cs="仿宋_GB2312"/>
          <w:kern w:val="0"/>
          <w:sz w:val="32"/>
          <w:szCs w:val="32"/>
        </w:rPr>
        <w:t>支持贵州旭和贝生物科技公司日用洗涤产品生产项目建设，推动卫婴康西南孕婴产品基地项目落地建设，填补产业空白。</w:t>
      </w:r>
    </w:p>
    <w:p w14:paraId="77209212">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405" w:name="_Toc24250"/>
      <w:bookmarkStart w:id="406" w:name="_Toc28164"/>
      <w:bookmarkStart w:id="407" w:name="_Toc6614"/>
      <w:bookmarkStart w:id="408" w:name="_Toc23067"/>
      <w:bookmarkStart w:id="409" w:name="_Toc31168"/>
      <w:bookmarkStart w:id="410" w:name="_Toc21041"/>
      <w:bookmarkStart w:id="411" w:name="_Toc61193811"/>
      <w:bookmarkStart w:id="412" w:name="_Toc22977"/>
      <w:bookmarkStart w:id="413" w:name="_Toc17659"/>
      <w:bookmarkStart w:id="414" w:name="_Toc11611"/>
      <w:bookmarkStart w:id="415" w:name="_Toc21367"/>
      <w:bookmarkStart w:id="416" w:name="_Toc5506"/>
      <w:bookmarkStart w:id="417" w:name="_Toc13266"/>
      <w:bookmarkStart w:id="418" w:name="_Toc14312"/>
      <w:bookmarkStart w:id="419" w:name="_Toc15639"/>
      <w:bookmarkStart w:id="420" w:name="_Toc49344394"/>
      <w:bookmarkStart w:id="421" w:name="_Toc58580308"/>
      <w:r>
        <w:rPr>
          <w:rFonts w:hint="eastAsia" w:ascii="方正小标宋简体" w:hAnsi="方正小标宋简体" w:eastAsia="方正小标宋简体" w:cs="方正小标宋简体"/>
          <w:b w:val="0"/>
          <w:bCs w:val="0"/>
          <w:kern w:val="0"/>
        </w:rPr>
        <w:t>第三节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推进经开区产业平台扩容升级</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1A59DBDC">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加快经开区“五区”建设。</w:t>
      </w:r>
      <w:r>
        <w:rPr>
          <w:rFonts w:hint="eastAsia" w:ascii="仿宋_GB2312" w:hAnsi="仿宋_GB2312" w:eastAsia="仿宋_GB2312" w:cs="仿宋_GB2312"/>
          <w:sz w:val="32"/>
          <w:szCs w:val="32"/>
        </w:rPr>
        <w:t>将贵州息烽经济开发区（简称经开区）建成新型工业化发展的引领区、体制机制创新和开放型经济发展的先行区、良好营商环境的示范区、大众创业万众创新的集聚区、产城融合商贸繁荣的活跃区，带动县域经济大发展。坚持改革创新驱动，整合资源、集中力量，树立新发展理念，加强统筹规划，加快转型升级，扭转产业低端竞争、产能过剩、企业负债高、资源环境压力大的不利局面。以“三高”的具体行动手段，推动经开区成为县域经济发展新的增长极，带动经济结构优化升级。到2025年，力争经开区工业总产值达200亿元，工业增加值增速年均达8%。</w:t>
      </w:r>
    </w:p>
    <w:p w14:paraId="3102A7AF">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推进行政管理体制创新创出发展活力</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按照精简高效原则，将息烽经开区管委会和县工业园区建设开发办公室整合归并内设机构，息烽县产业投资有限公司做好产业园区投资建设工作，着力抓好经济管理和投资服务。在经开区积极推行政企分开、政资分开、管理机构与开发运营企业分离。到2025年，产投公司体制趋于完善，党建引领国企高质量发展效果明显加强，公司融资能力明显增强，实体化转型成功，总资产突破30亿元。</w:t>
      </w:r>
    </w:p>
    <w:p w14:paraId="2461085F">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提升经开区承载能力。</w:t>
      </w:r>
      <w:r>
        <w:rPr>
          <w:rFonts w:hint="eastAsia" w:ascii="楷体_GB2312" w:hAnsi="楷体_GB2312" w:eastAsia="楷体_GB2312" w:cs="楷体_GB2312"/>
          <w:b/>
          <w:bCs/>
          <w:sz w:val="32"/>
          <w:szCs w:val="32"/>
        </w:rPr>
        <w:t>一是加快推进经开区扩区。</w:t>
      </w:r>
      <w:r>
        <w:rPr>
          <w:rFonts w:hint="eastAsia" w:ascii="仿宋_GB2312" w:hAnsi="仿宋_GB2312" w:eastAsia="仿宋_GB2312" w:cs="仿宋_GB2312"/>
          <w:sz w:val="32"/>
          <w:szCs w:val="32"/>
        </w:rPr>
        <w:t>优化调整息烽经开区四至范围，加快产业的“退城进园”，统筹县域产业协同发展，为产业集聚发展、承接产业功能转移预留用地空间。到2025年，经开区规划工业用地总面积不少于2.5万亩。</w:t>
      </w:r>
      <w:r>
        <w:rPr>
          <w:rFonts w:hint="eastAsia" w:ascii="楷体_GB2312" w:hAnsi="楷体_GB2312" w:eastAsia="楷体_GB2312" w:cs="楷体_GB2312"/>
          <w:b/>
          <w:bCs/>
          <w:sz w:val="32"/>
          <w:szCs w:val="32"/>
        </w:rPr>
        <w:t>二是完善园区设施建设。</w:t>
      </w:r>
      <w:r>
        <w:rPr>
          <w:rFonts w:hint="eastAsia" w:ascii="仿宋_GB2312" w:hAnsi="仿宋_GB2312" w:eastAsia="仿宋_GB2312" w:cs="仿宋_GB2312"/>
          <w:sz w:val="32"/>
          <w:szCs w:val="32"/>
        </w:rPr>
        <w:t>加快标准厂房、破碎山体整治与利用、产业园区管网基础设施、化学原料药产业园、都市工业园、建安产业园、节能环保产业园等项目建设，同步提升园区基础配套设施。到2025年，规划建成项目9个，建成标准厂房30万平方米，总投资60亿元。</w:t>
      </w:r>
      <w:r>
        <w:rPr>
          <w:rFonts w:hint="eastAsia" w:ascii="楷体_GB2312" w:hAnsi="楷体_GB2312" w:eastAsia="楷体_GB2312" w:cs="楷体_GB2312"/>
          <w:b/>
          <w:bCs/>
          <w:sz w:val="32"/>
          <w:szCs w:val="32"/>
        </w:rPr>
        <w:t>三是强化财税扶持。</w:t>
      </w:r>
      <w:r>
        <w:rPr>
          <w:rFonts w:hint="eastAsia" w:ascii="仿宋_GB2312" w:hAnsi="仿宋_GB2312" w:eastAsia="仿宋_GB2312" w:cs="仿宋_GB2312"/>
          <w:sz w:val="32"/>
          <w:szCs w:val="32"/>
        </w:rPr>
        <w:t>自</w:t>
      </w:r>
      <w:r>
        <w:rPr>
          <w:rFonts w:ascii="仿宋_GB2312" w:hAnsi="仿宋_GB2312" w:eastAsia="仿宋_GB2312" w:cs="仿宋_GB2312"/>
          <w:sz w:val="32"/>
          <w:szCs w:val="32"/>
        </w:rPr>
        <w:t>2020年起，将经开区范围内新增税收县级所得的30%、工业用地出让县级保留的100%划归经开区用于滚动发展。</w:t>
      </w:r>
    </w:p>
    <w:p w14:paraId="596FEE55">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在开放合作上主动作为。</w:t>
      </w:r>
      <w:r>
        <w:rPr>
          <w:rFonts w:hint="eastAsia" w:ascii="仿宋_GB2312" w:hAnsi="仿宋_GB2312" w:eastAsia="仿宋_GB2312" w:cs="仿宋_GB2312"/>
          <w:sz w:val="32"/>
          <w:szCs w:val="32"/>
        </w:rPr>
        <w:t>积极融入“一带一路”“长江经济带”等国家战略，积极参与黔中经济区、内陆开放试验区建设，与长三角城市群、珠三角城市群、成渝城市群搭建对外开放合作平台3-5个，继续探索“中介平台招商”“以商招商”模式，将建设、招商、运营等事务通过市场化方式委托给专业机构管理运营，把经开区打造成为息烽县对外开放主阵地。到2025年，力争引进中高端制造业项目30个，外资企业3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86"/>
      </w:tblGrid>
      <w:tr w14:paraId="384B88C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8286" w:type="dxa"/>
            <w:noWrap w:val="0"/>
            <w:tcMar>
              <w:top w:w="15" w:type="dxa"/>
              <w:left w:w="15" w:type="dxa"/>
              <w:bottom w:w="15" w:type="dxa"/>
              <w:right w:w="15" w:type="dxa"/>
            </w:tcMar>
            <w:vAlign w:val="top"/>
          </w:tcPr>
          <w:p w14:paraId="42E9F8C4">
            <w:pPr>
              <w:spacing w:line="520" w:lineRule="exact"/>
              <w:ind w:firstLine="482" w:firstLineChars="200"/>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sz w:val="24"/>
                <w:szCs w:val="24"/>
              </w:rPr>
              <w:t>专栏</w:t>
            </w:r>
            <w:r>
              <w:rPr>
                <w:rFonts w:ascii="仿宋_GB2312" w:hAnsi="仿宋_GB2312" w:eastAsia="仿宋_GB2312" w:cs="仿宋_GB2312"/>
                <w:b/>
                <w:bCs/>
                <w:color w:val="000000"/>
                <w:sz w:val="24"/>
                <w:szCs w:val="24"/>
              </w:rPr>
              <w:t xml:space="preserve"> </w:t>
            </w:r>
            <w:r>
              <w:rPr>
                <w:rFonts w:hint="eastAsia" w:ascii="仿宋_GB2312" w:hAnsi="仿宋_GB2312" w:eastAsia="仿宋_GB2312" w:cs="仿宋_GB2312"/>
                <w:b/>
                <w:bCs/>
                <w:color w:val="000000"/>
                <w:sz w:val="24"/>
                <w:szCs w:val="24"/>
              </w:rPr>
              <w:t>工业发展重点项目</w:t>
            </w:r>
          </w:p>
          <w:p w14:paraId="474C91F6">
            <w:pPr>
              <w:spacing w:line="520" w:lineRule="exact"/>
              <w:ind w:firstLine="562"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8"/>
                <w:szCs w:val="28"/>
              </w:rPr>
              <w:t>1.</w:t>
            </w:r>
            <w:r>
              <w:rPr>
                <w:rFonts w:hint="eastAsia" w:ascii="仿宋_GB2312" w:hAnsi="仿宋_GB2312" w:eastAsia="仿宋_GB2312" w:cs="仿宋_GB2312"/>
                <w:b/>
                <w:bCs/>
                <w:color w:val="000000"/>
                <w:kern w:val="0"/>
                <w:sz w:val="24"/>
                <w:szCs w:val="24"/>
              </w:rPr>
              <w:t>现代磷化工项目</w:t>
            </w:r>
            <w:r>
              <w:rPr>
                <w:rFonts w:hint="eastAsia" w:ascii="仿宋_GB2312" w:hAnsi="仿宋_GB2312" w:eastAsia="仿宋_GB2312" w:cs="仿宋_GB2312"/>
                <w:color w:val="000000"/>
                <w:kern w:val="0"/>
                <w:sz w:val="24"/>
                <w:szCs w:val="24"/>
              </w:rPr>
              <w:t>。推动磷化集团3万吨无水氟化氢、40万吨湿法磷酸净化、20万吨饲料级氢钙项目，西洋实业50万吨/年智能肥、30万吨/年生物肥生产线等项目建设。</w:t>
            </w:r>
          </w:p>
          <w:p w14:paraId="57012310">
            <w:pPr>
              <w:spacing w:line="520" w:lineRule="exact"/>
              <w:ind w:firstLine="482"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2.新型建筑建材产业项目</w:t>
            </w:r>
            <w:r>
              <w:rPr>
                <w:rFonts w:hint="eastAsia" w:ascii="仿宋_GB2312" w:hAnsi="仿宋_GB2312" w:eastAsia="仿宋_GB2312" w:cs="仿宋_GB2312"/>
                <w:color w:val="000000"/>
                <w:kern w:val="0"/>
                <w:sz w:val="24"/>
                <w:szCs w:val="24"/>
              </w:rPr>
              <w:t>。推动中建科技装配式建筑项目、西南管业PCCP预应力钢筒混凝土管道生产线扩能、昊为公司110万吨建筑石膏粉、磷化集团3</w:t>
            </w:r>
            <w:r>
              <w:rPr>
                <w:rFonts w:hint="eastAsia" w:ascii="仿宋_GB2312" w:hAnsi="仿宋_GB2312" w:eastAsia="仿宋_GB2312" w:cs="仿宋_GB2312"/>
                <w:color w:val="000000"/>
                <w:kern w:val="0"/>
                <w:sz w:val="24"/>
                <w:szCs w:val="24"/>
                <w:lang w:val="zh-CN"/>
              </w:rPr>
              <w:t>×20万吨</w:t>
            </w:r>
            <w:r>
              <w:rPr>
                <w:rFonts w:hint="eastAsia" w:ascii="仿宋_GB2312" w:hAnsi="仿宋_GB2312" w:eastAsia="仿宋_GB2312" w:cs="仿宋_GB2312"/>
                <w:color w:val="000000"/>
                <w:kern w:val="0"/>
                <w:sz w:val="24"/>
                <w:szCs w:val="24"/>
              </w:rPr>
              <w:t>/年高温石膏等项目建成。</w:t>
            </w:r>
          </w:p>
          <w:p w14:paraId="7B7C1D98">
            <w:pPr>
              <w:spacing w:line="520" w:lineRule="exact"/>
              <w:ind w:firstLine="482"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3.特色食品项目</w:t>
            </w:r>
            <w:r>
              <w:rPr>
                <w:rFonts w:hint="eastAsia" w:ascii="仿宋_GB2312" w:hAnsi="仿宋_GB2312" w:eastAsia="仿宋_GB2312" w:cs="仿宋_GB2312"/>
                <w:color w:val="000000"/>
                <w:kern w:val="0"/>
                <w:sz w:val="24"/>
                <w:szCs w:val="24"/>
              </w:rPr>
              <w:t>。推动黄南武、味美、苗姑娘等现有龙头企业扩能增产，睿锦坊5万吨其它酒、安佑集团饲料加工项目建成，培育1-2家高端氡泉饮水制造企业。</w:t>
            </w:r>
          </w:p>
          <w:p w14:paraId="28426898">
            <w:pPr>
              <w:spacing w:line="520" w:lineRule="exact"/>
              <w:ind w:firstLine="482"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4.大健康新医药项目</w:t>
            </w:r>
            <w:r>
              <w:rPr>
                <w:rFonts w:hint="eastAsia" w:ascii="仿宋_GB2312" w:hAnsi="仿宋_GB2312" w:eastAsia="仿宋_GB2312" w:cs="仿宋_GB2312"/>
                <w:color w:val="000000"/>
                <w:kern w:val="0"/>
                <w:sz w:val="24"/>
                <w:szCs w:val="24"/>
              </w:rPr>
              <w:t>。完成贵阳市工商产业投资集团有限公司贵阳市化学原料药生产基地建设，引进一批医药、医疗器械生产制造企业（比如：同仁堂、太极制药、永乐菲特等）入驻，推进大健康新医药产业集聚区建设。</w:t>
            </w:r>
          </w:p>
          <w:p w14:paraId="2CDE2151">
            <w:pPr>
              <w:spacing w:line="520" w:lineRule="exact"/>
              <w:ind w:firstLine="482"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5.装备制造产业项目。</w:t>
            </w:r>
            <w:r>
              <w:rPr>
                <w:rFonts w:hint="eastAsia" w:ascii="仿宋_GB2312" w:hAnsi="仿宋_GB2312" w:eastAsia="仿宋_GB2312" w:cs="仿宋_GB2312"/>
                <w:color w:val="000000"/>
                <w:kern w:val="0"/>
                <w:sz w:val="24"/>
                <w:szCs w:val="24"/>
              </w:rPr>
              <w:t>推进至锐工具公司金钻头制造项目、拜克汽车零部件公司生产线扩能项目建成。</w:t>
            </w:r>
          </w:p>
          <w:p w14:paraId="15220F52">
            <w:pPr>
              <w:spacing w:line="520" w:lineRule="exact"/>
              <w:ind w:firstLine="482"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6.节能环保产业项目。</w:t>
            </w:r>
            <w:r>
              <w:rPr>
                <w:rFonts w:hint="eastAsia" w:ascii="仿宋_GB2312" w:hAnsi="仿宋_GB2312" w:eastAsia="仿宋_GB2312" w:cs="仿宋_GB2312"/>
                <w:color w:val="000000"/>
                <w:kern w:val="0"/>
                <w:sz w:val="24"/>
                <w:szCs w:val="24"/>
              </w:rPr>
              <w:t>推进西南装备制造年产10万吨铝盐净水剂项目建成，推动华能风电公司24MVA风力发电项目二期建设，积极引进北京扬德新能源风力发电、国家电投集团贵州金元威宁能源风力发电项目落地。</w:t>
            </w:r>
          </w:p>
          <w:p w14:paraId="44F525DE">
            <w:pPr>
              <w:spacing w:line="520" w:lineRule="exact"/>
              <w:ind w:firstLine="482" w:firstLineChars="200"/>
              <w:rPr>
                <w:rFonts w:ascii="仿宋_GB2312" w:hAnsi="仿宋_GB2312" w:eastAsia="仿宋_GB2312" w:cs="仿宋_GB2312"/>
                <w:kern w:val="0"/>
                <w:sz w:val="28"/>
                <w:szCs w:val="28"/>
              </w:rPr>
            </w:pPr>
            <w:r>
              <w:rPr>
                <w:rFonts w:hint="eastAsia" w:ascii="仿宋_GB2312" w:hAnsi="仿宋_GB2312" w:eastAsia="仿宋_GB2312" w:cs="仿宋_GB2312"/>
                <w:b/>
                <w:bCs/>
                <w:color w:val="000000"/>
                <w:kern w:val="0"/>
                <w:sz w:val="24"/>
                <w:szCs w:val="24"/>
              </w:rPr>
              <w:t>7.日用消费品产业项目。</w:t>
            </w:r>
            <w:r>
              <w:rPr>
                <w:rFonts w:hint="eastAsia" w:ascii="仿宋_GB2312" w:hAnsi="仿宋_GB2312" w:eastAsia="仿宋_GB2312" w:cs="仿宋_GB2312"/>
                <w:color w:val="000000"/>
                <w:kern w:val="0"/>
                <w:sz w:val="24"/>
                <w:szCs w:val="24"/>
              </w:rPr>
              <w:t>推进泰和丰纸业年产1000万平方米纸箱、大愚智水PSP钢塑复合压力管、兄弟联科技年产3000吨高性能环保电子显影材料、永力丰电暖器压铸件配套厂、鸿丰电器L</w:t>
            </w:r>
            <w:r>
              <w:rPr>
                <w:rFonts w:ascii="仿宋_GB2312" w:hAnsi="仿宋_GB2312" w:eastAsia="仿宋_GB2312" w:cs="仿宋_GB2312"/>
                <w:color w:val="000000"/>
                <w:kern w:val="0"/>
                <w:sz w:val="24"/>
                <w:szCs w:val="24"/>
              </w:rPr>
              <w:t>ED</w:t>
            </w:r>
            <w:r>
              <w:rPr>
                <w:rFonts w:hint="eastAsia" w:ascii="仿宋_GB2312" w:hAnsi="仿宋_GB2312" w:eastAsia="仿宋_GB2312" w:cs="仿宋_GB2312"/>
                <w:color w:val="000000"/>
                <w:kern w:val="0"/>
                <w:sz w:val="24"/>
                <w:szCs w:val="24"/>
              </w:rPr>
              <w:t>灯具、旭和贝洗涤生产线项目建成，推动卫婴康母婴用品生产线建设项目落地。积极引入餐厨用品、旅行箱包、眼镜等日用消费品向项目。</w:t>
            </w:r>
          </w:p>
        </w:tc>
      </w:tr>
    </w:tbl>
    <w:p w14:paraId="1C7B4288">
      <w:pPr>
        <w:pStyle w:val="3"/>
        <w:spacing w:before="312" w:beforeLines="100" w:after="312" w:afterLines="100" w:line="560" w:lineRule="exact"/>
        <w:jc w:val="center"/>
        <w:rPr>
          <w:rFonts w:hint="eastAsia" w:eastAsia="方正小标宋简体"/>
          <w:b w:val="0"/>
          <w:bCs w:val="0"/>
          <w:spacing w:val="-11"/>
          <w:lang w:eastAsia="zh-CN"/>
        </w:rPr>
      </w:pPr>
      <w:r>
        <w:br w:type="page"/>
      </w:r>
      <w:bookmarkStart w:id="422" w:name="_Toc10439"/>
      <w:bookmarkStart w:id="423" w:name="_Toc2293"/>
      <w:bookmarkStart w:id="424" w:name="_Toc18648"/>
      <w:bookmarkStart w:id="425" w:name="_Toc5654"/>
      <w:bookmarkStart w:id="426" w:name="_Toc58580309"/>
      <w:bookmarkStart w:id="427" w:name="_Toc4904"/>
      <w:bookmarkStart w:id="428" w:name="_Toc24900"/>
      <w:bookmarkStart w:id="429" w:name="_Toc61193812"/>
      <w:bookmarkStart w:id="430" w:name="_Toc17835"/>
      <w:bookmarkStart w:id="431" w:name="_Toc8381"/>
      <w:bookmarkStart w:id="432" w:name="_Toc31399"/>
      <w:bookmarkStart w:id="433" w:name="_Toc17624"/>
      <w:bookmarkStart w:id="434" w:name="_Toc14862"/>
      <w:bookmarkStart w:id="435" w:name="_Toc31167"/>
      <w:bookmarkStart w:id="436" w:name="_Toc23310"/>
      <w:bookmarkStart w:id="437" w:name="_Toc4410"/>
      <w:r>
        <w:rPr>
          <w:rFonts w:hint="eastAsia" w:ascii="方正小标宋简体" w:hAnsi="方正小标宋简体" w:eastAsia="方正小标宋简体" w:cs="方正小标宋简体"/>
          <w:b w:val="0"/>
          <w:bCs w:val="0"/>
          <w:spacing w:val="-11"/>
          <w:sz w:val="36"/>
          <w:szCs w:val="36"/>
        </w:rPr>
        <w:t>第八章  发展中高端消费业</w:t>
      </w:r>
      <w:r>
        <w:rPr>
          <w:rFonts w:hint="eastAsia" w:ascii="方正小标宋简体" w:hAnsi="方正小标宋简体" w:eastAsia="方正小标宋简体" w:cs="方正小标宋简体"/>
          <w:b w:val="0"/>
          <w:bCs w:val="0"/>
          <w:spacing w:val="-11"/>
          <w:sz w:val="36"/>
          <w:szCs w:val="36"/>
          <w:lang w:val="en-US" w:eastAsia="zh-CN"/>
        </w:rPr>
        <w:t xml:space="preserve">  高质量</w:t>
      </w:r>
      <w:r>
        <w:rPr>
          <w:rFonts w:hint="eastAsia" w:ascii="方正小标宋简体" w:hAnsi="方正小标宋简体" w:eastAsia="方正小标宋简体" w:cs="方正小标宋简体"/>
          <w:b w:val="0"/>
          <w:bCs w:val="0"/>
          <w:spacing w:val="-11"/>
          <w:sz w:val="36"/>
          <w:szCs w:val="36"/>
        </w:rPr>
        <w:t>推进三产</w:t>
      </w:r>
      <w:bookmarkEnd w:id="422"/>
      <w:bookmarkEnd w:id="423"/>
      <w:bookmarkEnd w:id="424"/>
      <w:bookmarkEnd w:id="425"/>
      <w:bookmarkEnd w:id="426"/>
      <w:bookmarkEnd w:id="427"/>
      <w:bookmarkEnd w:id="428"/>
      <w:bookmarkEnd w:id="429"/>
      <w:bookmarkEnd w:id="430"/>
      <w:bookmarkEnd w:id="431"/>
      <w:r>
        <w:rPr>
          <w:rFonts w:hint="eastAsia" w:ascii="方正小标宋简体" w:hAnsi="方正小标宋简体" w:eastAsia="方正小标宋简体" w:cs="方正小标宋简体"/>
          <w:b w:val="0"/>
          <w:bCs w:val="0"/>
          <w:spacing w:val="-11"/>
          <w:sz w:val="36"/>
          <w:szCs w:val="36"/>
          <w:lang w:val="en-US" w:eastAsia="zh-CN"/>
        </w:rPr>
        <w:t>提质增效</w:t>
      </w:r>
      <w:bookmarkEnd w:id="432"/>
      <w:bookmarkEnd w:id="433"/>
      <w:bookmarkEnd w:id="434"/>
      <w:bookmarkEnd w:id="435"/>
      <w:bookmarkEnd w:id="436"/>
      <w:bookmarkEnd w:id="437"/>
    </w:p>
    <w:bookmarkEnd w:id="361"/>
    <w:p w14:paraId="72979CD3">
      <w:pPr>
        <w:widowControl/>
        <w:spacing w:line="560" w:lineRule="exact"/>
        <w:ind w:firstLine="640"/>
        <w:rPr>
          <w:rFonts w:ascii="仿宋_GB2312" w:hAnsi="仿宋_GB2312" w:eastAsia="仿宋_GB2312" w:cs="仿宋_GB2312"/>
          <w:sz w:val="32"/>
          <w:szCs w:val="32"/>
        </w:rPr>
      </w:pPr>
      <w:bookmarkStart w:id="438" w:name="_Toc19115"/>
      <w:r>
        <w:rPr>
          <w:rFonts w:ascii="仿宋_GB2312" w:hAnsi="仿宋_GB2312" w:eastAsia="仿宋_GB2312" w:cs="仿宋_GB2312"/>
          <w:sz w:val="32"/>
          <w:szCs w:val="32"/>
        </w:rPr>
        <w:t>增强消费对经济发展的基础性作用，顺应消费升级趋势，</w:t>
      </w:r>
      <w:r>
        <w:rPr>
          <w:rFonts w:hint="eastAsia" w:ascii="仿宋_GB2312" w:hAnsi="仿宋_GB2312" w:eastAsia="仿宋_GB2312" w:cs="仿宋_GB2312"/>
          <w:sz w:val="32"/>
          <w:szCs w:val="32"/>
        </w:rPr>
        <w:t>推进消费提档升级</w:t>
      </w:r>
      <w:r>
        <w:rPr>
          <w:rFonts w:ascii="仿宋_GB2312" w:hAnsi="仿宋_GB2312" w:eastAsia="仿宋_GB2312" w:cs="仿宋_GB2312"/>
          <w:sz w:val="32"/>
          <w:szCs w:val="32"/>
        </w:rPr>
        <w:t>，培育新型消费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鼓励消费新模式新业态发展</w:t>
      </w:r>
      <w:r>
        <w:rPr>
          <w:rFonts w:hint="eastAsia" w:ascii="仿宋_GB2312" w:hAnsi="仿宋_GB2312" w:eastAsia="仿宋_GB2312" w:cs="仿宋_GB2312"/>
          <w:sz w:val="32"/>
          <w:szCs w:val="32"/>
        </w:rPr>
        <w:t>。牢牢把握贵阳市打造“中高端消费品贸易之城”的契机，以建设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百场千店万铺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为抓手，积极推动传统商贸业向中高端消费业转型升级。</w:t>
      </w:r>
      <w:r>
        <w:rPr>
          <w:rFonts w:ascii="仿宋_GB2312" w:hAnsi="仿宋_GB2312" w:eastAsia="仿宋_GB2312" w:cs="仿宋_GB2312"/>
          <w:sz w:val="32"/>
          <w:szCs w:val="32"/>
        </w:rPr>
        <w:t>加快发展</w:t>
      </w:r>
      <w:r>
        <w:rPr>
          <w:rFonts w:hint="eastAsia" w:ascii="仿宋_GB2312" w:hAnsi="仿宋_GB2312" w:eastAsia="仿宋_GB2312" w:cs="仿宋_GB2312"/>
          <w:sz w:val="32"/>
          <w:szCs w:val="32"/>
        </w:rPr>
        <w:t>电子商务、</w:t>
      </w:r>
      <w:r>
        <w:rPr>
          <w:rFonts w:ascii="仿宋_GB2312" w:hAnsi="仿宋_GB2312" w:eastAsia="仿宋_GB2312" w:cs="仿宋_GB2312"/>
          <w:sz w:val="32"/>
          <w:szCs w:val="32"/>
        </w:rPr>
        <w:t>研发设计、现代物流等服务业。</w:t>
      </w:r>
    </w:p>
    <w:p w14:paraId="26812F12">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439" w:name="_Toc30745"/>
      <w:bookmarkStart w:id="440" w:name="_Toc16953"/>
      <w:bookmarkStart w:id="441" w:name="_Toc1838"/>
      <w:bookmarkStart w:id="442" w:name="_Toc29583"/>
      <w:bookmarkStart w:id="443" w:name="_Toc23237"/>
      <w:bookmarkStart w:id="444" w:name="_Toc32072"/>
      <w:bookmarkStart w:id="445" w:name="_Toc6123"/>
      <w:bookmarkStart w:id="446" w:name="_Toc29226"/>
      <w:bookmarkStart w:id="447" w:name="_Toc19424"/>
      <w:bookmarkStart w:id="448" w:name="_Toc22511"/>
      <w:bookmarkStart w:id="449" w:name="_Toc27026"/>
      <w:bookmarkStart w:id="450" w:name="_Toc29187"/>
      <w:bookmarkStart w:id="451" w:name="_Toc58580310"/>
      <w:bookmarkStart w:id="452" w:name="_Toc23685"/>
      <w:bookmarkStart w:id="453" w:name="_Toc18336"/>
      <w:bookmarkStart w:id="454" w:name="_Toc9030"/>
      <w:r>
        <w:rPr>
          <w:rFonts w:hint="eastAsia" w:ascii="方正小标宋简体" w:hAnsi="方正小标宋简体" w:eastAsia="方正小标宋简体" w:cs="方正小标宋简体"/>
          <w:b w:val="0"/>
          <w:bCs w:val="0"/>
          <w:kern w:val="0"/>
        </w:rPr>
        <w:t>第一节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大力发展中高端消费业</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1A9089CE">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加快培育智慧旅游、在线教育、远程医疗、直播带货等新业态新模式，全力巩固“夜间经济”“地摊经济”“步行街经济”。推进振兴商贸落实“百场千店万铺”攻坚行动计划，</w:t>
      </w:r>
      <w:r>
        <w:rPr>
          <w:rFonts w:hint="eastAsia" w:ascii="仿宋_GB2312" w:hAnsi="仿宋_GB2312" w:eastAsia="仿宋_GB2312" w:cs="仿宋_GB2312"/>
          <w:kern w:val="0"/>
          <w:sz w:val="32"/>
          <w:szCs w:val="32"/>
        </w:rPr>
        <w:t>致力发展“商圈经济”“特色经济”，助推传统消费向中高端消费升级，将息烽建成西部陆海贸易新通道重要流通节点和乌江中下游现代商贸中心。</w:t>
      </w:r>
    </w:p>
    <w:p w14:paraId="0BFFC41F">
      <w:pPr>
        <w:widowControl/>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sz w:val="32"/>
          <w:szCs w:val="32"/>
        </w:rPr>
        <w:t>大力推动传统商贸业转型升级</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借机“百场千店万铺”建设，认真落实“百场造商圈、千店兴百场、万铺促便民”发展部署，加快形成以商圈引领、特色街区带动、社区商业配套的商贸服务体系。深入推进</w:t>
      </w:r>
      <w:r>
        <w:rPr>
          <w:rFonts w:hint="eastAsia" w:ascii="仿宋_GB2312" w:hAnsi="仿宋_GB2312" w:eastAsia="仿宋_GB2312" w:cs="仿宋_GB2312"/>
          <w:sz w:val="32"/>
          <w:szCs w:val="32"/>
        </w:rPr>
        <w:t>“大数据+”对重点服务业态的深度融合，依托互联网、物联网、云计算等现代信息技术，</w:t>
      </w:r>
      <w:r>
        <w:rPr>
          <w:rFonts w:hint="eastAsia" w:ascii="仿宋_GB2312" w:hAnsi="仿宋_GB2312" w:eastAsia="仿宋_GB2312" w:cs="仿宋_GB2312"/>
          <w:kern w:val="0"/>
          <w:sz w:val="32"/>
          <w:szCs w:val="32"/>
        </w:rPr>
        <w:t>引导实体经济与线上经济融合发展，全面提升商贸服务业发展质量和效益。追溯消费刺激经济发展的基础性作用，结合息烽商业特色，重点引进和培育一批产业层次高、核心竞争力强、带动作用明显的中高端消费品牌和龙头企业入驻，培育一批特色明、效益优、市场前景好的本土中小企业崛起，为发展中高端消费业做好基础支撑。推进商场培育、特色商店引进和便民店铺提升，建设一批品质高、信誉优、发展好的引领性、示范性和带动性的特色商店，推动中高端消费升级和便民利民同步发展。到</w:t>
      </w:r>
      <w:r>
        <w:rPr>
          <w:rFonts w:ascii="仿宋_GB2312" w:hAnsi="仿宋_GB2312" w:eastAsia="仿宋_GB2312" w:cs="仿宋_GB2312"/>
          <w:kern w:val="0"/>
          <w:sz w:val="32"/>
          <w:szCs w:val="32"/>
        </w:rPr>
        <w:t>2025年，引进培育品牌（特色）店铺50个以上，国内外连锁便利店铺（超市）100个以上，改造提升优质商铺300个以上，引进培育特色餐饮店20个以上。</w:t>
      </w:r>
    </w:p>
    <w:p w14:paraId="0804BC1F">
      <w:pPr>
        <w:widowControl/>
        <w:spacing w:after="150" w:afterLines="0"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sz w:val="32"/>
          <w:szCs w:val="32"/>
        </w:rPr>
        <w:t>着力提升商业集聚水平</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围绕完善城市服务功能和满足市民生活需求，</w:t>
      </w:r>
      <w:r>
        <w:rPr>
          <w:rFonts w:hint="eastAsia" w:ascii="仿宋_GB2312" w:hAnsi="仿宋_GB2312" w:eastAsia="仿宋_GB2312" w:cs="仿宋_GB2312"/>
          <w:sz w:val="32"/>
          <w:szCs w:val="32"/>
        </w:rPr>
        <w:t>依托区位物流优势，</w:t>
      </w:r>
      <w:r>
        <w:rPr>
          <w:rFonts w:hint="eastAsia" w:ascii="仿宋_GB2312" w:hAnsi="仿宋_GB2312" w:eastAsia="仿宋_GB2312" w:cs="仿宋_GB2312"/>
          <w:kern w:val="0"/>
          <w:sz w:val="32"/>
          <w:szCs w:val="32"/>
        </w:rPr>
        <w:t>打造十字街中央广场、万汇城、</w:t>
      </w:r>
      <w:r>
        <w:rPr>
          <w:rFonts w:hint="eastAsia" w:ascii="仿宋_GB2312" w:hAnsi="仿宋_GB2312" w:eastAsia="仿宋_GB2312" w:cs="仿宋_GB2312"/>
          <w:sz w:val="32"/>
          <w:szCs w:val="32"/>
        </w:rPr>
        <w:t>平安驛</w:t>
      </w:r>
      <w:r>
        <w:rPr>
          <w:rFonts w:hint="eastAsia" w:ascii="仿宋_GB2312" w:hAnsi="仿宋_GB2312" w:eastAsia="仿宋_GB2312" w:cs="仿宋_GB2312"/>
          <w:kern w:val="0"/>
          <w:sz w:val="32"/>
          <w:szCs w:val="32"/>
        </w:rPr>
        <w:t>等商贸综合体，重点实现家装建材、服装服饰、汽车销售与维修产业的集聚。按照产业集聚和便民同步发展原则，结合“一街一特色”建设重点，集中力量在县域建设息烽集中营红色文旅商业聚集区等若干个步行街、商业街、美食街等特色商业街区，不断释放商圈聚集效应和辐射能力。积极发挥</w:t>
      </w:r>
      <w:r>
        <w:rPr>
          <w:rFonts w:hint="eastAsia" w:ascii="仿宋_GB2312" w:hAnsi="仿宋_GB2312" w:eastAsia="仿宋_GB2312" w:cs="仿宋_GB2312"/>
          <w:kern w:val="0"/>
          <w:sz w:val="32"/>
          <w:szCs w:val="32"/>
          <w:lang w:eastAsia="zh-CN"/>
        </w:rPr>
        <w:t>贵阳市委党校息烽现场教学基地</w:t>
      </w:r>
      <w:r>
        <w:rPr>
          <w:rFonts w:hint="eastAsia" w:ascii="仿宋_GB2312" w:hAnsi="仿宋_GB2312" w:eastAsia="仿宋_GB2312" w:cs="仿宋_GB2312"/>
          <w:kern w:val="0"/>
          <w:sz w:val="32"/>
          <w:szCs w:val="32"/>
        </w:rPr>
        <w:t>和红色旅游经典景区的引领作用，紧密结合红色旅游、特色餐饮、电商体验，打造具有息烽特色餐饮和电商线下体验的</w:t>
      </w:r>
      <w:r>
        <w:rPr>
          <w:rFonts w:ascii="仿宋_GB2312" w:hAnsi="仿宋_GB2312" w:eastAsia="仿宋_GB2312" w:cs="仿宋_GB2312"/>
          <w:kern w:val="0"/>
          <w:sz w:val="32"/>
          <w:szCs w:val="32"/>
        </w:rPr>
        <w:t>“红色息烽”省级步行街</w:t>
      </w:r>
      <w:r>
        <w:rPr>
          <w:rFonts w:hint="eastAsia" w:ascii="仿宋_GB2312" w:hAnsi="仿宋_GB2312" w:eastAsia="仿宋_GB2312" w:cs="仿宋_GB2312"/>
          <w:kern w:val="0"/>
          <w:sz w:val="32"/>
          <w:szCs w:val="32"/>
        </w:rPr>
        <w:t>。以南山温泉、息烽温泉为突破口，构建涵盖文化、旅游、购物、餐饮、养老养生、儿童游乐等功能为一体的游购娱街区。到</w:t>
      </w:r>
      <w:r>
        <w:rPr>
          <w:rFonts w:ascii="仿宋_GB2312" w:hAnsi="仿宋_GB2312" w:eastAsia="仿宋_GB2312" w:cs="仿宋_GB2312"/>
          <w:kern w:val="0"/>
          <w:sz w:val="32"/>
          <w:szCs w:val="32"/>
        </w:rPr>
        <w:t>2025年，十字街</w:t>
      </w:r>
      <w:r>
        <w:rPr>
          <w:rFonts w:hint="eastAsia" w:ascii="仿宋_GB2312" w:hAnsi="仿宋_GB2312" w:eastAsia="仿宋_GB2312" w:cs="仿宋_GB2312"/>
          <w:kern w:val="0"/>
          <w:sz w:val="32"/>
          <w:szCs w:val="32"/>
        </w:rPr>
        <w:t>中央广场</w:t>
      </w:r>
      <w:r>
        <w:rPr>
          <w:rFonts w:ascii="仿宋_GB2312" w:hAnsi="仿宋_GB2312" w:eastAsia="仿宋_GB2312" w:cs="仿宋_GB2312"/>
          <w:kern w:val="0"/>
          <w:sz w:val="32"/>
          <w:szCs w:val="32"/>
        </w:rPr>
        <w:t>、万汇城、</w:t>
      </w:r>
      <w:r>
        <w:rPr>
          <w:rFonts w:hint="eastAsia" w:ascii="仿宋_GB2312" w:hAnsi="仿宋_GB2312" w:eastAsia="仿宋_GB2312" w:cs="仿宋_GB2312"/>
          <w:sz w:val="32"/>
          <w:szCs w:val="32"/>
        </w:rPr>
        <w:t>平安驛</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商贸综合体</w:t>
      </w:r>
      <w:r>
        <w:rPr>
          <w:rFonts w:hint="eastAsia" w:ascii="仿宋_GB2312" w:hAnsi="仿宋_GB2312" w:eastAsia="仿宋_GB2312" w:cs="仿宋_GB2312"/>
          <w:kern w:val="0"/>
          <w:sz w:val="32"/>
          <w:szCs w:val="32"/>
        </w:rPr>
        <w:t>建成投用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万汇家居建材产业实现集聚，</w:t>
      </w:r>
      <w:r>
        <w:rPr>
          <w:rFonts w:ascii="仿宋_GB2312" w:hAnsi="仿宋_GB2312" w:eastAsia="仿宋_GB2312" w:cs="仿宋_GB2312"/>
          <w:kern w:val="0"/>
          <w:sz w:val="32"/>
          <w:szCs w:val="32"/>
        </w:rPr>
        <w:t>“红色息烽”省级步行街</w:t>
      </w:r>
      <w:r>
        <w:rPr>
          <w:rFonts w:hint="eastAsia" w:ascii="仿宋_GB2312" w:hAnsi="仿宋_GB2312" w:eastAsia="仿宋_GB2312" w:cs="仿宋_GB2312"/>
          <w:kern w:val="0"/>
          <w:sz w:val="32"/>
          <w:szCs w:val="32"/>
        </w:rPr>
        <w:t>达标建成、</w:t>
      </w:r>
      <w:r>
        <w:rPr>
          <w:rFonts w:ascii="仿宋_GB2312" w:hAnsi="仿宋_GB2312" w:eastAsia="仿宋_GB2312" w:cs="仿宋_GB2312"/>
          <w:kern w:val="0"/>
          <w:sz w:val="32"/>
          <w:szCs w:val="32"/>
        </w:rPr>
        <w:t>各镇特色街区改造</w:t>
      </w:r>
      <w:r>
        <w:rPr>
          <w:rFonts w:hint="eastAsia" w:ascii="仿宋_GB2312" w:hAnsi="仿宋_GB2312" w:eastAsia="仿宋_GB2312" w:cs="仿宋_GB2312"/>
          <w:kern w:val="0"/>
          <w:sz w:val="32"/>
          <w:szCs w:val="32"/>
        </w:rPr>
        <w:t>完成，</w:t>
      </w:r>
      <w:r>
        <w:rPr>
          <w:rFonts w:ascii="仿宋_GB2312" w:hAnsi="仿宋_GB2312" w:eastAsia="仿宋_GB2312" w:cs="仿宋_GB2312"/>
          <w:kern w:val="0"/>
          <w:sz w:val="32"/>
          <w:szCs w:val="32"/>
        </w:rPr>
        <w:t>“三体一圈</w:t>
      </w:r>
      <w:r>
        <w:rPr>
          <w:rFonts w:hint="eastAsia" w:ascii="仿宋_GB2312" w:hAnsi="仿宋_GB2312" w:eastAsia="仿宋_GB2312" w:cs="仿宋_GB2312"/>
          <w:kern w:val="0"/>
          <w:sz w:val="32"/>
          <w:szCs w:val="32"/>
        </w:rPr>
        <w:t>、三街百铺</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商贸格局</w:t>
      </w:r>
      <w:r>
        <w:rPr>
          <w:rFonts w:ascii="仿宋_GB2312" w:hAnsi="仿宋_GB2312" w:eastAsia="仿宋_GB2312" w:cs="仿宋_GB2312"/>
          <w:kern w:val="0"/>
          <w:sz w:val="32"/>
          <w:szCs w:val="32"/>
        </w:rPr>
        <w:t>基本</w:t>
      </w:r>
      <w:r>
        <w:rPr>
          <w:rFonts w:hint="eastAsia" w:ascii="仿宋_GB2312" w:hAnsi="仿宋_GB2312" w:eastAsia="仿宋_GB2312" w:cs="仿宋_GB2312"/>
          <w:kern w:val="0"/>
          <w:sz w:val="32"/>
          <w:szCs w:val="32"/>
        </w:rPr>
        <w:t>形成</w:t>
      </w:r>
      <w:r>
        <w:rPr>
          <w:rFonts w:ascii="仿宋_GB2312" w:hAnsi="仿宋_GB2312" w:eastAsia="仿宋_GB2312" w:cs="仿宋_GB2312"/>
          <w:kern w:val="0"/>
          <w:sz w:val="32"/>
          <w:szCs w:val="32"/>
        </w:rPr>
        <w:t>。</w:t>
      </w:r>
    </w:p>
    <w:p w14:paraId="14725160">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455" w:name="_Toc13287"/>
      <w:bookmarkStart w:id="456" w:name="_Toc5033"/>
      <w:bookmarkStart w:id="457" w:name="_Toc27193"/>
      <w:bookmarkStart w:id="458" w:name="_Toc5300"/>
      <w:bookmarkStart w:id="459" w:name="_Toc28215"/>
      <w:bookmarkStart w:id="460" w:name="_Toc3860"/>
      <w:bookmarkStart w:id="461" w:name="_Toc8261"/>
      <w:bookmarkStart w:id="462" w:name="_Toc19456"/>
      <w:bookmarkStart w:id="463" w:name="_Toc22736"/>
      <w:bookmarkStart w:id="464" w:name="_Toc25789"/>
      <w:bookmarkStart w:id="465" w:name="_Toc21304"/>
      <w:bookmarkStart w:id="466" w:name="_Toc15520"/>
      <w:bookmarkStart w:id="467" w:name="_Toc58580312"/>
      <w:bookmarkStart w:id="468" w:name="_Toc2462"/>
      <w:bookmarkStart w:id="469" w:name="_Toc5577"/>
      <w:bookmarkStart w:id="470" w:name="_Toc10727"/>
      <w:r>
        <w:rPr>
          <w:rFonts w:hint="eastAsia" w:ascii="方正小标宋简体" w:hAnsi="方正小标宋简体" w:eastAsia="方正小标宋简体" w:cs="方正小标宋简体"/>
          <w:b w:val="0"/>
          <w:bCs w:val="0"/>
          <w:kern w:val="0"/>
        </w:rPr>
        <w:t xml:space="preserve">第二节 </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加快推进电子商务发展</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34CC35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zh-CN"/>
        </w:rPr>
        <w:t>聚焦农产品销售和流通环节，以把农产品销售好，强化利益联结为根本目的，</w:t>
      </w:r>
      <w:r>
        <w:rPr>
          <w:rFonts w:hint="eastAsia" w:ascii="仿宋_GB2312" w:hAnsi="仿宋_GB2312" w:eastAsia="仿宋_GB2312" w:cs="仿宋_GB2312"/>
          <w:sz w:val="32"/>
          <w:szCs w:val="32"/>
        </w:rPr>
        <w:t>建设息烽县农特产品数据库，使其成为农特产品信息汇集、供需对接和价格对比的信息中心；培育市场销售主体</w:t>
      </w:r>
      <w:r>
        <w:rPr>
          <w:rFonts w:hint="eastAsia" w:ascii="仿宋_GB2312" w:hAnsi="仿宋_GB2312" w:eastAsia="仿宋_GB2312" w:cs="仿宋_GB2312"/>
          <w:sz w:val="32"/>
          <w:szCs w:val="32"/>
          <w:lang w:bidi="zh-CN"/>
        </w:rPr>
        <w:t>，充分发挥“流通型龙头企业”“农村经纪人”“农村电商”三大销售主力作用，</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bidi="zh-CN"/>
        </w:rPr>
        <w:t>拓展</w:t>
      </w:r>
      <w:r>
        <w:rPr>
          <w:rFonts w:hint="eastAsia" w:ascii="仿宋_GB2312" w:hAnsi="仿宋_GB2312" w:eastAsia="仿宋_GB2312" w:cs="仿宋_GB2312"/>
          <w:sz w:val="32"/>
          <w:szCs w:val="32"/>
        </w:rPr>
        <w:t>省内外市场。到2025年底，培育农产品流通型龙头企业5家以上，农村经纪人60人以上，网络零售额（上行）突破2亿元。</w:t>
      </w:r>
    </w:p>
    <w:p w14:paraId="47F335C3">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夯实电商发展基础。</w:t>
      </w:r>
      <w:r>
        <w:rPr>
          <w:rFonts w:hint="eastAsia" w:ascii="仿宋_GB2312" w:hAnsi="仿宋_GB2312" w:eastAsia="仿宋_GB2312" w:cs="仿宋_GB2312"/>
          <w:sz w:val="32"/>
          <w:szCs w:val="32"/>
        </w:rPr>
        <w:t>推进“息烽县电子商务公共服务中心”建设，为电商创业者及企业提供“技术咨询、运营营销、物流配送、金融支持、政策咨询、创业孵化和数据分析”等电商服务。强化电商人才培养，开展校企联合培训、订单式人才培养，将合伙人、推广员、大中专学生、农民培育成一批“电商合伙人”“电商推广员”“电商学生”“电商农民”，壮大息烽电商人才队伍。鼓励各金融机构开发针对电商企业的金融产品，加大融资支持。引导融资性担保机构优先为农村中小电商企业提供多种形式的融资担保。</w:t>
      </w:r>
    </w:p>
    <w:p w14:paraId="0C17AA82">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健全电商物流体系。</w:t>
      </w:r>
      <w:r>
        <w:rPr>
          <w:rFonts w:hint="eastAsia" w:ascii="仿宋_GB2312" w:hAnsi="仿宋_GB2312" w:eastAsia="仿宋_GB2312" w:cs="仿宋_GB2312"/>
          <w:sz w:val="32"/>
          <w:szCs w:val="32"/>
        </w:rPr>
        <w:t>加快村级电商服务站改造升级，引进、鼓励、扶持物流企业在街道（乡镇）、村居建立物流服务站，实现物流快递功能性全覆盖。在进一步畅通下行配送“最后一公里”的基础上，畅通农产品上行“第一公里”，消除零散农产品上行不畅，实现电商助农增收目标。</w:t>
      </w:r>
    </w:p>
    <w:p w14:paraId="5E5450B8">
      <w:pPr>
        <w:spacing w:line="560" w:lineRule="exact"/>
        <w:ind w:firstLine="643" w:firstLineChars="200"/>
        <w:rPr>
          <w:rFonts w:ascii="仿宋_GB2312" w:hAnsi="仿宋_GB2312" w:eastAsia="仿宋_GB2312" w:cs="仿宋_GB2312"/>
          <w:b/>
          <w:bCs/>
          <w:sz w:val="32"/>
          <w:szCs w:val="32"/>
        </w:rPr>
      </w:pPr>
      <w:r>
        <w:rPr>
          <w:rFonts w:hint="eastAsia" w:ascii="黑体" w:hAnsi="黑体" w:eastAsia="黑体"/>
          <w:b/>
          <w:bCs/>
          <w:sz w:val="32"/>
          <w:szCs w:val="32"/>
        </w:rPr>
        <w:t>探索产销对接新模式。</w:t>
      </w:r>
      <w:r>
        <w:rPr>
          <w:rFonts w:hint="eastAsia" w:ascii="仿宋_GB2312" w:hAnsi="仿宋_GB2312" w:eastAsia="仿宋_GB2312" w:cs="仿宋_GB2312"/>
          <w:sz w:val="32"/>
          <w:szCs w:val="32"/>
        </w:rPr>
        <w:t>把电商作为村干部、大学生村官、致富带头人推动农产品网络销售、助农增收的出发点和立足点。在立碑村等区域开展线上线下融合发展电商，发挥“贵州淘宝第一村”示范效应，以“红色息烽”省级步行街建设为切入点，探索红色步行街体验购物，立碑村仓储发货的“前店后厂”电商发展新模式，打造电商产业集聚一条街。加快县域天猫、京东、苏宁旗舰店、专卖店或特色农产品展销网厅建设，为全县农业生产基地、农产品营销大户、大型超市、大型餐饮连锁企业、农产品加工企业提供产品销售服务。利用抖音、快手等新媒体进行品牌创意短视频拍摄，并进行投放，开通直播带货，聘请直播达人长期进行特色产业直播卖货，拓宽农产品销售渠道。</w:t>
      </w:r>
    </w:p>
    <w:p w14:paraId="55DF5AF7">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471" w:name="_Toc24514"/>
      <w:bookmarkStart w:id="472" w:name="_Toc32332"/>
      <w:bookmarkStart w:id="473" w:name="_Toc563"/>
      <w:bookmarkStart w:id="474" w:name="_Toc20588"/>
      <w:bookmarkStart w:id="475" w:name="_Toc24443"/>
      <w:bookmarkStart w:id="476" w:name="_Toc3323"/>
      <w:bookmarkStart w:id="477" w:name="_Toc20052"/>
      <w:bookmarkStart w:id="478" w:name="_Toc2285"/>
      <w:bookmarkStart w:id="479" w:name="_Toc23754"/>
      <w:bookmarkStart w:id="480" w:name="_Toc15854"/>
      <w:bookmarkStart w:id="481" w:name="_Toc16088"/>
      <w:bookmarkStart w:id="482" w:name="_Toc14790"/>
      <w:bookmarkStart w:id="483" w:name="_Toc4502"/>
      <w:bookmarkStart w:id="484" w:name="_Toc11930"/>
      <w:bookmarkStart w:id="485" w:name="_Toc58580313"/>
      <w:bookmarkStart w:id="486" w:name="_Toc6916"/>
      <w:r>
        <w:rPr>
          <w:rFonts w:hint="eastAsia" w:ascii="方正小标宋简体" w:hAnsi="方正小标宋简体" w:eastAsia="方正小标宋简体" w:cs="方正小标宋简体"/>
          <w:b w:val="0"/>
          <w:bCs w:val="0"/>
          <w:kern w:val="0"/>
        </w:rPr>
        <w:t>第三节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积极发展现代物流产业</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1C9CDF21">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根据全县城镇发展格局及乡镇产业发展重点，围绕息烽南部城市拓展区开发、“一轴一环两核多点”工业产业布局，综合考虑工业、服务业和综合交通运输等相关规划和发展需求，整合既有物流资源，在空间上形成“两带两线一枢纽”物流业发展格局。</w:t>
      </w:r>
    </w:p>
    <w:p w14:paraId="0F2CDEB8">
      <w:pPr>
        <w:pStyle w:val="10"/>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86"/>
      </w:tblGrid>
      <w:tr w14:paraId="6B85B85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8286" w:type="dxa"/>
            <w:noWrap w:val="0"/>
            <w:tcMar>
              <w:top w:w="15" w:type="dxa"/>
              <w:left w:w="15" w:type="dxa"/>
              <w:bottom w:w="15" w:type="dxa"/>
              <w:right w:w="15" w:type="dxa"/>
            </w:tcMar>
            <w:vAlign w:val="top"/>
          </w:tcPr>
          <w:p w14:paraId="6C0D2BF7">
            <w:pPr>
              <w:spacing w:line="560" w:lineRule="exact"/>
              <w:ind w:firstLine="482" w:firstLineChars="20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sz w:val="24"/>
                <w:szCs w:val="24"/>
              </w:rPr>
              <w:t>专栏 “两带两线一枢纽”物流业发展格局</w:t>
            </w:r>
          </w:p>
          <w:p w14:paraId="69E95137">
            <w:pPr>
              <w:pStyle w:val="10"/>
              <w:spacing w:line="560" w:lineRule="exact"/>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两带：</w:t>
            </w:r>
            <w:r>
              <w:rPr>
                <w:rFonts w:hint="eastAsia" w:ascii="仿宋_GB2312" w:hAnsi="仿宋_GB2312" w:eastAsia="仿宋_GB2312" w:cs="仿宋_GB2312"/>
                <w:kern w:val="0"/>
                <w:sz w:val="24"/>
                <w:szCs w:val="24"/>
              </w:rPr>
              <w:t>贵遵物流产业集聚带。积极融入对接西部陆海贸易新通道建设，衔接贵阳市“城市中轴贯通、东西两翼协同、南北双向拓展、组团分步推进”的城市发展格局构建，依托同城大道、贵遵高速、同城大道</w:t>
            </w:r>
            <w:r>
              <w:rPr>
                <w:rFonts w:ascii="仿宋_GB2312" w:hAnsi="仿宋_GB2312" w:eastAsia="仿宋_GB2312" w:cs="仿宋_GB2312"/>
                <w:kern w:val="0"/>
                <w:sz w:val="24"/>
                <w:szCs w:val="24"/>
              </w:rPr>
              <w:t>、渝黔铁路等交通基础设施，发挥交通对物流业的发展带动作用，在其沿线布局物流节点设施，实现物流与交通的融合发展。乌江黄金水道物流发展带。主动对接长江经济带发展战略，提升乌江航道通过能力，提高乌江水路运输服务水平，发挥水运物流区域经济发展的重要促进作用。</w:t>
            </w:r>
          </w:p>
          <w:p w14:paraId="7F0D0E44">
            <w:pPr>
              <w:pStyle w:val="10"/>
              <w:spacing w:line="560" w:lineRule="exact"/>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两线：</w:t>
            </w:r>
            <w:r>
              <w:rPr>
                <w:rFonts w:hint="eastAsia" w:ascii="仿宋_GB2312" w:hAnsi="仿宋_GB2312" w:eastAsia="仿宋_GB2312" w:cs="仿宋_GB2312"/>
                <w:kern w:val="0"/>
                <w:sz w:val="24"/>
                <w:szCs w:val="24"/>
              </w:rPr>
              <w:t>贵金古高速</w:t>
            </w:r>
            <w:r>
              <w:rPr>
                <w:rFonts w:ascii="仿宋_GB2312" w:hAnsi="仿宋_GB2312" w:eastAsia="仿宋_GB2312" w:cs="仿宋_GB2312"/>
                <w:kern w:val="0"/>
                <w:sz w:val="24"/>
                <w:szCs w:val="24"/>
              </w:rPr>
              <w:t>-江都高速沿线、S207沿线。依托贵金古高速、江都高速，串联县域内东西向沿线主要乡镇和产业园区，主要发挥农特产品、矿产资源、工业产品集疏散的作用；依托江都高速小寨坝-温泉段-S207、天台山-大塘口港区专线铁路等交通基础设施，串联小寨坝物流园区、大塘口港区以及各产业园区和城镇，实现公铁水多式联运发展，提升货物的中转换装能力。远期谋划小寨坝至大塘口港区通江大道建设，提升物流园区域大塘口港区交通联系能力。</w:t>
            </w:r>
          </w:p>
          <w:p w14:paraId="1110CC8E">
            <w:pPr>
              <w:pStyle w:val="10"/>
              <w:spacing w:line="560" w:lineRule="exact"/>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一枢纽：</w:t>
            </w:r>
            <w:r>
              <w:rPr>
                <w:rFonts w:hint="eastAsia" w:ascii="仿宋_GB2312" w:hAnsi="仿宋_GB2312" w:eastAsia="仿宋_GB2312" w:cs="仿宋_GB2312"/>
                <w:kern w:val="0"/>
                <w:sz w:val="24"/>
                <w:szCs w:val="24"/>
              </w:rPr>
              <w:t>通过一带两线串联，整合息烽港、小寨坝物流园等物流节点和各类物流资源，将息烽打造成为黔中水上、陆上、空中、网上“四栖”多式联运物流枢纽。</w:t>
            </w:r>
          </w:p>
        </w:tc>
      </w:tr>
    </w:tbl>
    <w:p w14:paraId="21D92A39"/>
    <w:p w14:paraId="5844FC67">
      <w:pPr>
        <w:spacing w:line="560" w:lineRule="exact"/>
        <w:ind w:firstLine="630"/>
        <w:rPr>
          <w:rFonts w:ascii="仿宋_GB2312" w:hAnsi="仿宋_GB2312" w:eastAsia="仿宋_GB2312" w:cs="仿宋_GB2312"/>
          <w:sz w:val="32"/>
          <w:szCs w:val="32"/>
        </w:rPr>
      </w:pPr>
      <w:r>
        <w:rPr>
          <w:rFonts w:hint="eastAsia" w:ascii="黑体" w:hAnsi="黑体" w:eastAsia="黑体"/>
          <w:b/>
          <w:bCs/>
          <w:sz w:val="32"/>
          <w:szCs w:val="32"/>
        </w:rPr>
        <w:t>推进陆上物流</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完善公路运输体系，以</w:t>
      </w:r>
      <w:r>
        <w:rPr>
          <w:rFonts w:hint="eastAsia" w:ascii="仿宋_GB2312" w:hAnsi="仿宋_GB2312" w:eastAsia="仿宋_GB2312" w:cs="仿宋_GB2312"/>
          <w:sz w:val="32"/>
          <w:szCs w:val="32"/>
        </w:rPr>
        <w:t>高速、国道和省道和城镇干道为核心，顺畅连接县道、乡道和村道主干公路。</w:t>
      </w:r>
      <w:r>
        <w:rPr>
          <w:rFonts w:hint="eastAsia" w:ascii="仿宋_GB2312" w:hAnsi="仿宋_GB2312" w:eastAsia="仿宋_GB2312" w:cs="仿宋_GB2312"/>
          <w:kern w:val="0"/>
          <w:sz w:val="32"/>
          <w:szCs w:val="32"/>
        </w:rPr>
        <w:t>依托贵金古高速公路“双石互通”连接线，打造西部与修文、金沙、仁怀互通经济圈。</w:t>
      </w:r>
      <w:r>
        <w:rPr>
          <w:rFonts w:hint="eastAsia" w:ascii="仿宋_GB2312" w:hAnsi="仿宋_GB2312" w:eastAsia="仿宋_GB2312" w:cs="仿宋_GB2312"/>
          <w:sz w:val="32"/>
          <w:szCs w:val="32"/>
        </w:rPr>
        <w:t>增加高铁停靠车次，争取开通贵阳往返息烽的通勤式高铁列车。</w:t>
      </w:r>
      <w:r>
        <w:rPr>
          <w:rFonts w:hint="eastAsia" w:ascii="仿宋_GB2312" w:hAnsi="仿宋_GB2312" w:eastAsia="仿宋_GB2312" w:cs="仿宋_GB2312"/>
          <w:kern w:val="0"/>
          <w:sz w:val="32"/>
          <w:szCs w:val="32"/>
        </w:rPr>
        <w:t>推进象道物流项目建设，打通小寨坝火车站到同城大道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最后一公里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路。推进息烽港连接S207及尹庵工业园道路建设，</w:t>
      </w:r>
      <w:r>
        <w:rPr>
          <w:rFonts w:hint="eastAsia" w:ascii="仿宋_GB2312" w:hAnsi="仿宋_GB2312" w:eastAsia="仿宋_GB2312" w:cs="仿宋_GB2312"/>
          <w:sz w:val="32"/>
          <w:szCs w:val="32"/>
        </w:rPr>
        <w:t>加快川黔铁路货运小寨坝物流货运支线建设，争取开通养龙司镇铁路货运站，</w:t>
      </w:r>
      <w:r>
        <w:rPr>
          <w:rFonts w:hint="eastAsia" w:ascii="仿宋_GB2312" w:hAnsi="仿宋_GB2312" w:eastAsia="仿宋_GB2312" w:cs="仿宋_GB2312"/>
          <w:kern w:val="0"/>
          <w:sz w:val="32"/>
          <w:szCs w:val="32"/>
        </w:rPr>
        <w:t>依托永安码头打造黔北煤炭物流基地。</w:t>
      </w:r>
      <w:r>
        <w:rPr>
          <w:rFonts w:hint="eastAsia" w:ascii="仿宋_GB2312" w:hAnsi="仿宋_GB2312" w:eastAsia="仿宋_GB2312" w:cs="仿宋_GB2312"/>
          <w:sz w:val="32"/>
          <w:szCs w:val="32"/>
        </w:rPr>
        <w:t>整合现有冷链企业资源，</w:t>
      </w:r>
      <w:r>
        <w:rPr>
          <w:rFonts w:hint="eastAsia" w:ascii="仿宋_GB2312" w:hAnsi="仿宋" w:eastAsia="仿宋_GB2312" w:cs="仿宋"/>
          <w:sz w:val="32"/>
          <w:szCs w:val="32"/>
        </w:rPr>
        <w:t>建设</w:t>
      </w:r>
      <w:r>
        <w:rPr>
          <w:rFonts w:ascii="仿宋_GB2312" w:hAnsi="仿宋" w:eastAsia="仿宋_GB2312" w:cs="仿宋"/>
          <w:sz w:val="32"/>
          <w:szCs w:val="32"/>
        </w:rPr>
        <w:t>区域</w:t>
      </w:r>
      <w:r>
        <w:rPr>
          <w:rFonts w:hint="eastAsia" w:ascii="仿宋_GB2312" w:hAnsi="仿宋" w:eastAsia="仿宋_GB2312" w:cs="仿宋"/>
          <w:sz w:val="32"/>
          <w:szCs w:val="32"/>
        </w:rPr>
        <w:t>仓储</w:t>
      </w:r>
      <w:r>
        <w:rPr>
          <w:rFonts w:ascii="仿宋_GB2312" w:hAnsi="仿宋" w:eastAsia="仿宋_GB2312" w:cs="仿宋"/>
          <w:sz w:val="32"/>
          <w:szCs w:val="32"/>
        </w:rPr>
        <w:t>物流</w:t>
      </w:r>
      <w:r>
        <w:rPr>
          <w:rFonts w:hint="eastAsia" w:ascii="仿宋_GB2312" w:hAnsi="仿宋" w:eastAsia="仿宋_GB2312" w:cs="仿宋"/>
          <w:sz w:val="32"/>
          <w:szCs w:val="32"/>
        </w:rPr>
        <w:t>配送</w:t>
      </w:r>
      <w:r>
        <w:rPr>
          <w:rFonts w:ascii="仿宋_GB2312" w:hAnsi="仿宋" w:eastAsia="仿宋_GB2312" w:cs="仿宋"/>
          <w:sz w:val="32"/>
          <w:szCs w:val="32"/>
        </w:rPr>
        <w:t>中心</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打造30分钟内运输—仓储全覆盖冷链网络</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在九庄镇、石硐镇、青山苗族乡等地设立冷链仓储，在小寨坝物流园建立低温加工处理中心、流通型冷库及分拣、配送等冷链配套设施。</w:t>
      </w:r>
    </w:p>
    <w:p w14:paraId="0E305130">
      <w:pPr>
        <w:widowControl/>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sz w:val="32"/>
          <w:szCs w:val="32"/>
        </w:rPr>
        <w:t>推进水上物流。</w:t>
      </w:r>
      <w:r>
        <w:rPr>
          <w:rFonts w:hint="eastAsia" w:ascii="仿宋_GB2312" w:hAnsi="仿宋_GB2312" w:eastAsia="仿宋_GB2312" w:cs="仿宋_GB2312"/>
          <w:kern w:val="0"/>
          <w:sz w:val="32"/>
          <w:szCs w:val="32"/>
        </w:rPr>
        <w:t>打通水上交通大动脉，</w:t>
      </w:r>
      <w:r>
        <w:rPr>
          <w:rFonts w:hint="eastAsia" w:ascii="仿宋_GB2312" w:hAnsi="仿宋_GB2312" w:eastAsia="仿宋_GB2312" w:cs="仿宋_GB2312"/>
          <w:sz w:val="32"/>
          <w:szCs w:val="32"/>
        </w:rPr>
        <w:t>畅通乌江-长江航运通道，</w:t>
      </w:r>
      <w:r>
        <w:rPr>
          <w:rFonts w:hint="eastAsia" w:ascii="仿宋_GB2312" w:hAnsi="仿宋_GB2312" w:eastAsia="仿宋_GB2312" w:cs="仿宋_GB2312"/>
          <w:kern w:val="0"/>
          <w:sz w:val="32"/>
          <w:szCs w:val="32"/>
        </w:rPr>
        <w:t>加快息烽港项目建设，息烽港年</w:t>
      </w:r>
      <w:r>
        <w:rPr>
          <w:rFonts w:ascii="仿宋_GB2312" w:hAnsi="仿宋_GB2312" w:eastAsia="仿宋_GB2312" w:cs="仿宋_GB2312"/>
          <w:sz w:val="32"/>
          <w:szCs w:val="32"/>
        </w:rPr>
        <w:t>吞吐量</w:t>
      </w:r>
      <w:r>
        <w:rPr>
          <w:rFonts w:hint="eastAsia" w:ascii="仿宋_GB2312" w:hAnsi="仿宋_GB2312" w:eastAsia="仿宋_GB2312" w:cs="仿宋_GB2312"/>
          <w:kern w:val="0"/>
          <w:sz w:val="32"/>
          <w:szCs w:val="32"/>
        </w:rPr>
        <w:t>力争</w:t>
      </w:r>
      <w:r>
        <w:rPr>
          <w:rFonts w:hint="eastAsia" w:ascii="仿宋_GB2312" w:hAnsi="仿宋_GB2312" w:eastAsia="仿宋_GB2312" w:cs="仿宋_GB2312"/>
          <w:sz w:val="32"/>
          <w:szCs w:val="32"/>
        </w:rPr>
        <w:t>达</w:t>
      </w:r>
      <w:r>
        <w:rPr>
          <w:rFonts w:ascii="仿宋_GB2312" w:hAnsi="仿宋_GB2312" w:eastAsia="仿宋_GB2312" w:cs="仿宋_GB2312"/>
          <w:sz w:val="32"/>
          <w:szCs w:val="32"/>
        </w:rPr>
        <w:t>500万吨</w:t>
      </w:r>
      <w:r>
        <w:rPr>
          <w:rFonts w:hint="eastAsia" w:ascii="仿宋_GB2312" w:hAnsi="仿宋_GB2312" w:eastAsia="仿宋_GB2312" w:cs="仿宋_GB2312"/>
          <w:sz w:val="32"/>
          <w:szCs w:val="32"/>
        </w:rPr>
        <w:t>以上。</w:t>
      </w:r>
      <w:r>
        <w:rPr>
          <w:rFonts w:hint="eastAsia" w:ascii="仿宋_GB2312" w:hAnsi="仿宋" w:eastAsia="仿宋_GB2312" w:cs="Times New Roman"/>
          <w:kern w:val="0"/>
          <w:sz w:val="32"/>
          <w:szCs w:val="32"/>
        </w:rPr>
        <w:t>完成乌江渡库区息烽段30公里航道整治，</w:t>
      </w:r>
      <w:r>
        <w:rPr>
          <w:rFonts w:hint="eastAsia" w:ascii="仿宋_GB2312" w:hAnsi="仿宋_GB2312" w:eastAsia="仿宋_GB2312" w:cs="仿宋_GB2312"/>
          <w:sz w:val="32"/>
          <w:szCs w:val="32"/>
        </w:rPr>
        <w:t>完善港区进出港公路、客货运站（场）、安全保障等配套设施建设，基本形成水运交通运输体系。建成泡沫井监管救助基地</w:t>
      </w:r>
      <w:r>
        <w:rPr>
          <w:rFonts w:hint="eastAsia" w:ascii="仿宋_GB2312" w:hAnsi="仿宋" w:eastAsia="仿宋_GB2312" w:cs="Times New Roman"/>
          <w:kern w:val="0"/>
          <w:sz w:val="32"/>
          <w:szCs w:val="32"/>
        </w:rPr>
        <w:t>。</w:t>
      </w:r>
      <w:r>
        <w:rPr>
          <w:rFonts w:hint="eastAsia" w:ascii="仿宋_GB2312" w:hAnsi="仿宋_GB2312" w:eastAsia="仿宋_GB2312" w:cs="仿宋_GB2312"/>
          <w:kern w:val="0"/>
          <w:sz w:val="32"/>
          <w:szCs w:val="32"/>
        </w:rPr>
        <w:t>培育1至2家水运物流企业，水运能力达500万吨以上。</w:t>
      </w:r>
    </w:p>
    <w:p w14:paraId="7FBA922C">
      <w:pPr>
        <w:widowControl/>
        <w:spacing w:line="560" w:lineRule="exact"/>
        <w:ind w:firstLine="640"/>
        <w:rPr>
          <w:rFonts w:ascii="仿宋_GB2312" w:hAnsi="仿宋_GB2312" w:eastAsia="仿宋_GB2312" w:cs="仿宋_GB2312"/>
          <w:sz w:val="32"/>
          <w:szCs w:val="32"/>
        </w:rPr>
      </w:pPr>
      <w:r>
        <w:rPr>
          <w:rFonts w:hint="eastAsia" w:ascii="黑体" w:hAnsi="黑体" w:eastAsia="黑体"/>
          <w:b/>
          <w:bCs/>
          <w:sz w:val="32"/>
          <w:szCs w:val="32"/>
        </w:rPr>
        <w:t>推进空中物流。</w:t>
      </w:r>
      <w:r>
        <w:rPr>
          <w:rFonts w:hint="eastAsia" w:ascii="仿宋_GB2312" w:hAnsi="仿宋_GB2312" w:eastAsia="仿宋_GB2312" w:cs="仿宋_GB2312"/>
          <w:sz w:val="32"/>
          <w:szCs w:val="32"/>
        </w:rPr>
        <w:t>开辟便捷空中通道，加强与贵阳龙洞堡、遵义新舟机场联系，主动对接贵阳综合保税区，打通息烽买全球、卖全球的大门，提高</w:t>
      </w:r>
      <w:r>
        <w:rPr>
          <w:rFonts w:hint="eastAsia" w:ascii="仿宋_GB2312" w:hAnsi="仿宋_GB2312" w:eastAsia="仿宋_GB2312" w:cs="仿宋_GB2312"/>
          <w:kern w:val="0"/>
          <w:sz w:val="32"/>
          <w:szCs w:val="32"/>
        </w:rPr>
        <w:t>“贵州产”“贵阳造”“息烽出”</w:t>
      </w:r>
      <w:r>
        <w:rPr>
          <w:rFonts w:hint="eastAsia" w:ascii="仿宋_GB2312" w:hAnsi="仿宋_GB2312" w:eastAsia="仿宋_GB2312" w:cs="仿宋_GB2312"/>
          <w:sz w:val="32"/>
          <w:szCs w:val="32"/>
        </w:rPr>
        <w:t>通道沿线海关特殊监管区域间货物调拨、流转效率，大大减少农特产品运输时间。</w:t>
      </w:r>
    </w:p>
    <w:p w14:paraId="6145D3FD">
      <w:pPr>
        <w:widowControl/>
        <w:spacing w:after="150" w:afterLines="0"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sz w:val="32"/>
          <w:szCs w:val="32"/>
        </w:rPr>
        <w:t>推进网上物流</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创建“国家级电子商务进农村综合示范县”，将“通村村”平台打造成农村电商物流枢纽，功能覆盖各行政村，物流快递行业人员、网点等末端资源实现有机整合，打通物流配送</w:t>
      </w:r>
      <w:r>
        <w:rPr>
          <w:rFonts w:hint="eastAsia" w:ascii="仿宋_GB2312" w:hAnsi="仿宋_GB2312" w:eastAsia="仿宋_GB2312" w:cs="仿宋_GB2312"/>
          <w:sz w:val="32"/>
          <w:szCs w:val="32"/>
          <w:lang w:eastAsia="zh-CN"/>
        </w:rPr>
        <w:t>“最后一公里”</w:t>
      </w:r>
      <w:r>
        <w:rPr>
          <w:rFonts w:hint="eastAsia" w:ascii="仿宋_GB2312" w:hAnsi="仿宋_GB2312" w:eastAsia="仿宋_GB2312" w:cs="仿宋_GB2312"/>
          <w:sz w:val="32"/>
          <w:szCs w:val="32"/>
        </w:rPr>
        <w:t>。创新监管模式、优化通关流程，培育跨境电子商务市场主体。开展全域盲点盲区扫除、弱覆盖增强行动，提高5G移动网络覆盖范围，加快5G应用场景试点建设，发展智慧物流，提升县域信息化水平。</w:t>
      </w:r>
    </w:p>
    <w:p w14:paraId="506F0DB7">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487" w:name="_Toc5112"/>
      <w:bookmarkStart w:id="488" w:name="_Toc29668"/>
      <w:bookmarkStart w:id="489" w:name="_Toc23424"/>
      <w:bookmarkStart w:id="490" w:name="_Toc21685"/>
      <w:bookmarkStart w:id="491" w:name="_Toc26907"/>
      <w:bookmarkStart w:id="492" w:name="_Toc14146"/>
      <w:bookmarkStart w:id="493" w:name="_Toc23879"/>
      <w:bookmarkStart w:id="494" w:name="_Toc9492"/>
      <w:bookmarkStart w:id="495" w:name="_Toc18532"/>
      <w:bookmarkStart w:id="496" w:name="_Toc1038"/>
      <w:bookmarkStart w:id="497" w:name="_Toc27856"/>
      <w:bookmarkStart w:id="498" w:name="_Toc23345"/>
      <w:bookmarkStart w:id="499" w:name="_Toc2870"/>
      <w:bookmarkStart w:id="500" w:name="_Toc22712"/>
      <w:bookmarkStart w:id="501" w:name="_Toc2524"/>
      <w:bookmarkStart w:id="502" w:name="_Toc58580314"/>
      <w:r>
        <w:rPr>
          <w:rFonts w:hint="eastAsia" w:ascii="方正小标宋简体" w:hAnsi="方正小标宋简体" w:eastAsia="方正小标宋简体" w:cs="方正小标宋简体"/>
          <w:b w:val="0"/>
          <w:bCs w:val="0"/>
          <w:kern w:val="0"/>
        </w:rPr>
        <w:t>第四节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加快推进其它服务业发展</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0148C5EF">
      <w:pPr>
        <w:widowControl/>
        <w:spacing w:after="150" w:afterLines="0"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加快金融服务业发展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充分发挥金融对实体经济的服务作用，着力深化金融体制改革，为服务业发展创造良好金融环境。强化政金企联动，统筹指导金融机构化解不良贷款，着力缓解中小微企业、民营经济、“三农”等领域融资难、融资贵问题。搭建政金企融资平台，打通企业与金融机构之间的融资桥梁，满足企业创新及发展融资需求。积极引进银行、保险、投资管理公司等金融机构，推动农村金融服务网点建设，完善金融服务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积极发展绿色金融</w:t>
      </w:r>
      <w:r>
        <w:rPr>
          <w:rFonts w:hint="eastAsia" w:ascii="仿宋_GB2312" w:hAnsi="仿宋_GB2312" w:eastAsia="仿宋_GB2312" w:cs="仿宋_GB2312"/>
          <w:sz w:val="32"/>
          <w:szCs w:val="32"/>
        </w:rPr>
        <w:t>。到2025年，力争引进金融分支机构2家、证券机构1家、保险公司5家、典当行5家、小额贷款公司2家，金融机构人民币存款余额完</w:t>
      </w:r>
      <w:r>
        <w:rPr>
          <w:rFonts w:hint="eastAsia" w:ascii="仿宋_GB2312" w:hAnsi="仿宋_GB2312" w:eastAsia="仿宋_GB2312" w:cs="仿宋_GB2312"/>
          <w:color w:val="auto"/>
          <w:sz w:val="32"/>
          <w:szCs w:val="32"/>
        </w:rPr>
        <w:t>成130亿元，</w:t>
      </w:r>
      <w:r>
        <w:rPr>
          <w:rFonts w:hint="eastAsia" w:ascii="仿宋_GB2312" w:hAnsi="仿宋_GB2312" w:eastAsia="仿宋_GB2312" w:cs="仿宋_GB2312"/>
          <w:sz w:val="32"/>
          <w:szCs w:val="32"/>
        </w:rPr>
        <w:t>贷款余额完成 300亿元。</w:t>
      </w:r>
    </w:p>
    <w:p w14:paraId="620ADBBA">
      <w:pPr>
        <w:widowControl/>
        <w:spacing w:after="150" w:afterLines="0"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加快批零住餐服务业发展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聚焦前沿信息服务，依托5G建设和智慧城市发展推动，以红色旅游、康养服务、文商农旅融合、传统商贸转型发展为载体，全面促进批发、零售、住宿、餐饮等传统商贸服务业的转型升级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到2025年，批发、零售、住宿、餐饮限上企业达4</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家，将息烽打造成为“贵阳服务新高地”。</w:t>
      </w:r>
    </w:p>
    <w:p w14:paraId="0AB5E084">
      <w:pPr>
        <w:widowControl/>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促进房地产市场健康发展。</w:t>
      </w:r>
      <w:r>
        <w:rPr>
          <w:rFonts w:ascii="仿宋_GB2312" w:hAnsi="仿宋_GB2312" w:eastAsia="仿宋_GB2312" w:cs="仿宋_GB2312"/>
          <w:sz w:val="32"/>
          <w:szCs w:val="32"/>
        </w:rPr>
        <w:t>坚持“房住不炒”，加快建立多主体供给、多渠道保障、租购并举的住房制度，推进房地产市场健康有序发展。</w:t>
      </w:r>
      <w:r>
        <w:rPr>
          <w:rFonts w:hint="eastAsia" w:ascii="仿宋_GB2312" w:hAnsi="仿宋_GB2312" w:eastAsia="仿宋_GB2312" w:cs="仿宋_GB2312"/>
          <w:sz w:val="32"/>
          <w:szCs w:val="32"/>
        </w:rPr>
        <w:t>逐步</w:t>
      </w:r>
      <w:r>
        <w:rPr>
          <w:rFonts w:ascii="仿宋_GB2312" w:hAnsi="仿宋_GB2312" w:eastAsia="仿宋_GB2312" w:cs="仿宋_GB2312"/>
          <w:sz w:val="32"/>
          <w:szCs w:val="32"/>
        </w:rPr>
        <w:t>形成住房总量基本平衡、结构基本合理、房价与消费能力基本适应的城镇住房供需格局，基本达到“户均一套房、功能齐全、环境优美”的总体目标。到2025年，新增各类商品房10282套，面积约123万平方米；建设人才安居住房1632套；新增租赁类住房</w:t>
      </w:r>
      <w:r>
        <w:rPr>
          <w:rFonts w:hint="eastAsia" w:ascii="仿宋_GB2312" w:hAnsi="仿宋_GB2312" w:eastAsia="仿宋_GB2312" w:cs="仿宋_GB2312"/>
          <w:sz w:val="32"/>
          <w:szCs w:val="32"/>
        </w:rPr>
        <w:t>约13.7万平方米、2610套，其中新增公共租赁住房500套。</w:t>
      </w:r>
      <w:r>
        <w:rPr>
          <w:rFonts w:ascii="仿宋_GB2312" w:hAnsi="仿宋_GB2312" w:eastAsia="仿宋_GB2312" w:cs="仿宋_GB2312"/>
          <w:sz w:val="32"/>
          <w:szCs w:val="32"/>
        </w:rPr>
        <w:t>县城老城区新建商品住房专业物业覆盖率达到</w:t>
      </w:r>
      <w:r>
        <w:rPr>
          <w:rFonts w:hint="eastAsia" w:ascii="仿宋_GB2312" w:hAnsi="仿宋_GB2312" w:eastAsia="仿宋_GB2312" w:cs="仿宋_GB2312"/>
          <w:sz w:val="32"/>
          <w:szCs w:val="32"/>
        </w:rPr>
        <w:t>90</w:t>
      </w:r>
      <w:r>
        <w:rPr>
          <w:rFonts w:ascii="仿宋_GB2312" w:hAnsi="仿宋_GB2312" w:eastAsia="仿宋_GB2312" w:cs="仿宋_GB2312"/>
          <w:sz w:val="32"/>
          <w:szCs w:val="32"/>
        </w:rPr>
        <w:t>%，城市化专业化物业管理的房屋达到70%以上。</w:t>
      </w:r>
    </w:p>
    <w:p w14:paraId="28E514B4">
      <w:pPr>
        <w:pStyle w:val="10"/>
        <w:spacing w:line="560" w:lineRule="exact"/>
        <w:ind w:firstLine="643" w:firstLineChars="200"/>
        <w:jc w:val="both"/>
        <w:rPr>
          <w:rFonts w:ascii="仿宋_GB2312" w:hAnsi="仿宋_GB2312" w:eastAsia="仿宋_GB2312" w:cs="仿宋_GB2312"/>
          <w:sz w:val="32"/>
          <w:szCs w:val="32"/>
        </w:rPr>
      </w:pPr>
      <w:r>
        <w:rPr>
          <w:rFonts w:hint="eastAsia" w:ascii="黑体" w:hAnsi="黑体" w:eastAsia="黑体"/>
          <w:b/>
          <w:bCs/>
          <w:sz w:val="32"/>
          <w:szCs w:val="32"/>
        </w:rPr>
        <w:t>加快法律服务业发展。</w:t>
      </w:r>
      <w:r>
        <w:rPr>
          <w:rFonts w:hint="eastAsia" w:ascii="仿宋_GB2312" w:hAnsi="仿宋_GB2312" w:eastAsia="仿宋_GB2312" w:cs="仿宋_GB2312"/>
          <w:sz w:val="32"/>
          <w:szCs w:val="32"/>
        </w:rPr>
        <w:t>以“一带一路”和西部陆海贸易新通道建设为契机，进一步完善工作机制，优化政策扶持，加快建设现代法律服务业，推动我县服务贸易稳步发展。加大法律服务人才引进力度，加强与周边地区法律服务交流，做好法律服务业务培训，规范行业市场。为打造内陆改革开放高低营造省内一流的法制营商环境，更加精准地满足群众、企业的法律需求。</w:t>
      </w:r>
    </w:p>
    <w:p w14:paraId="29B04726"/>
    <w:p w14:paraId="57521CA6">
      <w:pPr>
        <w:pStyle w:val="10"/>
      </w:pPr>
    </w:p>
    <w:p w14:paraId="2D47D6BB">
      <w:pPr>
        <w:pStyle w:val="3"/>
        <w:spacing w:before="312" w:beforeLines="100" w:after="312" w:afterLines="100" w:line="560" w:lineRule="exact"/>
        <w:jc w:val="center"/>
        <w:rPr>
          <w:rFonts w:hint="eastAsia" w:ascii="方正小标宋简体" w:hAnsi="方正小标宋简体" w:eastAsia="方正小标宋简体" w:cs="方正小标宋简体"/>
          <w:b w:val="0"/>
          <w:bCs w:val="0"/>
          <w:spacing w:val="-11"/>
          <w:sz w:val="36"/>
          <w:szCs w:val="36"/>
        </w:rPr>
      </w:pPr>
      <w:r>
        <w:rPr>
          <w:rFonts w:ascii="仿宋_GB2312" w:hAnsi="仿宋_GB2312" w:eastAsia="仿宋_GB2312" w:cs="仿宋_GB2312"/>
          <w:sz w:val="32"/>
          <w:szCs w:val="32"/>
        </w:rPr>
        <w:br w:type="page"/>
      </w:r>
      <w:bookmarkStart w:id="503" w:name="_Toc58580315"/>
      <w:bookmarkStart w:id="504" w:name="_Toc15431"/>
      <w:bookmarkStart w:id="505" w:name="_Toc7848"/>
      <w:bookmarkStart w:id="506" w:name="_Toc614"/>
      <w:bookmarkStart w:id="507" w:name="_Toc25208"/>
      <w:bookmarkStart w:id="508" w:name="_Toc8011"/>
      <w:bookmarkStart w:id="509" w:name="_Toc61193816"/>
      <w:bookmarkStart w:id="510" w:name="_Toc11535"/>
      <w:bookmarkStart w:id="511" w:name="_Toc16438"/>
      <w:bookmarkStart w:id="512" w:name="_Toc31679"/>
      <w:bookmarkStart w:id="513" w:name="_Toc49344402"/>
      <w:bookmarkStart w:id="514" w:name="_Toc2738"/>
      <w:bookmarkStart w:id="515" w:name="_Toc954"/>
      <w:bookmarkStart w:id="516" w:name="_Toc22086"/>
      <w:bookmarkStart w:id="517" w:name="_Toc17901"/>
      <w:bookmarkStart w:id="518" w:name="_Toc29418"/>
      <w:bookmarkStart w:id="519" w:name="_Toc13695"/>
      <w:r>
        <w:rPr>
          <w:rFonts w:hint="eastAsia" w:ascii="方正小标宋简体" w:hAnsi="方正小标宋简体" w:eastAsia="方正小标宋简体" w:cs="方正小标宋简体"/>
          <w:b w:val="0"/>
          <w:bCs w:val="0"/>
          <w:spacing w:val="-11"/>
          <w:sz w:val="36"/>
          <w:szCs w:val="36"/>
        </w:rPr>
        <w:t>第九章  推进旅游产业化</w:t>
      </w:r>
      <w:r>
        <w:rPr>
          <w:rFonts w:hint="eastAsia" w:ascii="方正小标宋简体" w:hAnsi="方正小标宋简体" w:eastAsia="方正小标宋简体" w:cs="方正小标宋简体"/>
          <w:b w:val="0"/>
          <w:bCs w:val="0"/>
          <w:spacing w:val="-11"/>
          <w:sz w:val="36"/>
          <w:szCs w:val="36"/>
          <w:lang w:val="en-US" w:eastAsia="zh-CN"/>
        </w:rPr>
        <w:t xml:space="preserve">  高质量</w:t>
      </w:r>
      <w:r>
        <w:rPr>
          <w:rFonts w:hint="eastAsia" w:ascii="方正小标宋简体" w:hAnsi="方正小标宋简体" w:eastAsia="方正小标宋简体" w:cs="方正小标宋简体"/>
          <w:b w:val="0"/>
          <w:bCs w:val="0"/>
          <w:spacing w:val="-11"/>
          <w:sz w:val="36"/>
          <w:szCs w:val="36"/>
        </w:rPr>
        <w:t>打造旅游+消费目的地</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1D139922">
      <w:pPr>
        <w:pStyle w:val="15"/>
        <w:widowControl/>
        <w:spacing w:after="0" w:afterLines="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大力推进旅游产业化发展，构建高质量发展现代服务业体系。紧紧围绕“红色息烽 </w:t>
      </w:r>
      <w:r>
        <w:rPr>
          <w:rFonts w:hint="eastAsia" w:ascii="仿宋_GB2312" w:hAnsi="仿宋_GB2312" w:eastAsia="仿宋_GB2312" w:cs="仿宋_GB2312"/>
          <w:sz w:val="32"/>
          <w:szCs w:val="32"/>
        </w:rPr>
        <w:t>氡泉之城</w:t>
      </w:r>
      <w:r>
        <w:rPr>
          <w:rFonts w:hint="eastAsia" w:ascii="仿宋_GB2312" w:hAnsi="仿宋_GB2312" w:eastAsia="仿宋_GB2312" w:cs="仿宋_GB2312"/>
          <w:kern w:val="2"/>
          <w:sz w:val="32"/>
          <w:szCs w:val="32"/>
        </w:rPr>
        <w:t>”城市形象定位，依托“四张名片”,</w:t>
      </w:r>
      <w:r>
        <w:rPr>
          <w:rFonts w:hint="eastAsia" w:ascii="仿宋_GB2312" w:hAnsi="仿宋_GB2312" w:eastAsia="仿宋_GB2312" w:cs="仿宋_GB2312"/>
          <w:kern w:val="2"/>
          <w:sz w:val="32"/>
          <w:szCs w:val="32"/>
          <w:lang w:eastAsia="zh-CN"/>
        </w:rPr>
        <w:t>完善省级风景名胜区、温泉省级森林公园相应的总体规划，</w:t>
      </w:r>
      <w:r>
        <w:rPr>
          <w:rFonts w:hint="eastAsia" w:ascii="仿宋_GB2312" w:hAnsi="仿宋_GB2312" w:eastAsia="仿宋_GB2312" w:cs="仿宋_GB2312"/>
          <w:kern w:val="2"/>
          <w:sz w:val="32"/>
          <w:szCs w:val="32"/>
        </w:rPr>
        <w:t>着力打造“大健康消费品牌集散地”“避暑养生品牌集散地”和“红色文化旅游目的地”，完善一城（百里氡温泉城）、一景（西望山—乌江峡核心景区）、一园（长征国家文化公园）、一体（美丽息烽大型田园综合体）、一基地（</w:t>
      </w:r>
      <w:r>
        <w:rPr>
          <w:rFonts w:hint="eastAsia" w:ascii="仿宋_GB2312" w:hAnsi="仿宋_GB2312" w:eastAsia="仿宋_GB2312" w:cs="仿宋_GB2312"/>
          <w:kern w:val="2"/>
          <w:sz w:val="32"/>
          <w:szCs w:val="32"/>
          <w:lang w:eastAsia="zh-CN"/>
        </w:rPr>
        <w:t>贵阳市委党校息烽现场教学基地</w:t>
      </w:r>
      <w:r>
        <w:rPr>
          <w:rFonts w:hint="eastAsia" w:ascii="仿宋_GB2312" w:hAnsi="仿宋_GB2312" w:eastAsia="仿宋_GB2312" w:cs="仿宋_GB2312"/>
          <w:kern w:val="2"/>
          <w:sz w:val="32"/>
          <w:szCs w:val="32"/>
        </w:rPr>
        <w:t>）、多小镇（文化旅游特色小镇）、多街区（文化旅游街区）布局，全面提升全域旅游品质和服务质量。力争新增创建1个4A级旅游景区、2个3A级旅游景区，接待游客、旅游综合收入年均分别增长10%、15%。</w:t>
      </w:r>
    </w:p>
    <w:p w14:paraId="207ECD03">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520" w:name="_Toc61193817"/>
      <w:bookmarkStart w:id="521" w:name="_Toc26723"/>
      <w:bookmarkStart w:id="522" w:name="_Toc26582"/>
      <w:bookmarkStart w:id="523" w:name="_Toc18842"/>
      <w:bookmarkStart w:id="524" w:name="_Toc32665"/>
      <w:bookmarkStart w:id="525" w:name="_Toc19047"/>
      <w:bookmarkStart w:id="526" w:name="_Toc18352"/>
      <w:bookmarkStart w:id="527" w:name="_Toc16244"/>
      <w:bookmarkStart w:id="528" w:name="_Toc17618"/>
      <w:bookmarkStart w:id="529" w:name="_Toc4359"/>
      <w:bookmarkStart w:id="530" w:name="_Toc17486"/>
      <w:bookmarkStart w:id="531" w:name="_Toc31182"/>
      <w:bookmarkStart w:id="532" w:name="_Toc9458"/>
      <w:bookmarkStart w:id="533" w:name="_Toc9624"/>
      <w:bookmarkStart w:id="534" w:name="_Toc49344403"/>
      <w:bookmarkStart w:id="535" w:name="_Toc32038"/>
      <w:bookmarkStart w:id="536" w:name="_Toc58580316"/>
      <w:r>
        <w:rPr>
          <w:rFonts w:hint="eastAsia" w:ascii="方正小标宋简体" w:hAnsi="方正小标宋简体" w:eastAsia="方正小标宋简体" w:cs="方正小标宋简体"/>
          <w:b w:val="0"/>
          <w:bCs w:val="0"/>
          <w:kern w:val="0"/>
        </w:rPr>
        <w:t>第一节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建成</w:t>
      </w:r>
      <w:r>
        <w:rPr>
          <w:rFonts w:hint="eastAsia" w:ascii="方正小标宋简体" w:hAnsi="方正小标宋简体" w:eastAsia="方正小标宋简体" w:cs="方正小标宋简体"/>
          <w:b w:val="0"/>
          <w:bCs w:val="0"/>
          <w:kern w:val="0"/>
          <w:lang w:eastAsia="zh-CN"/>
        </w:rPr>
        <w:t>贵阳市委党校息烽现场教学基地</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擦亮“红色息烽”品牌</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2CD48F5E">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立足“红色息烽”城市定位，</w:t>
      </w:r>
      <w:r>
        <w:rPr>
          <w:rFonts w:hint="eastAsia" w:ascii="仿宋_GB2312" w:eastAsia="仿宋_GB2312" w:cs="仿宋_GB2312"/>
          <w:sz w:val="32"/>
          <w:szCs w:val="32"/>
        </w:rPr>
        <w:t>紧</w:t>
      </w:r>
      <w:r>
        <w:rPr>
          <w:rFonts w:hint="eastAsia" w:ascii="仿宋_GB2312" w:eastAsia="仿宋_GB2312"/>
          <w:sz w:val="32"/>
          <w:szCs w:val="32"/>
        </w:rPr>
        <w:t>紧抓住建设“</w:t>
      </w:r>
      <w:r>
        <w:rPr>
          <w:rFonts w:hint="eastAsia" w:ascii="仿宋_GB2312" w:eastAsia="仿宋_GB2312"/>
          <w:sz w:val="32"/>
          <w:szCs w:val="32"/>
          <w:lang w:eastAsia="zh-CN"/>
        </w:rPr>
        <w:t>长征国家文化公园</w:t>
      </w:r>
      <w:r>
        <w:rPr>
          <w:rFonts w:hint="eastAsia" w:ascii="仿宋_GB2312" w:eastAsia="仿宋_GB2312"/>
          <w:sz w:val="32"/>
          <w:szCs w:val="32"/>
        </w:rPr>
        <w:t>”有利契机，</w:t>
      </w:r>
      <w:r>
        <w:rPr>
          <w:rFonts w:hint="eastAsia" w:ascii="仿宋_GB2312" w:hAnsi="仿宋_GB2312" w:eastAsia="仿宋_GB2312" w:cs="仿宋_GB2312"/>
          <w:sz w:val="32"/>
          <w:szCs w:val="32"/>
        </w:rPr>
        <w:t>深挖红军长征南渡乌江过境息烽、息烽集中营狱中斗争、抗战期间民众支前、解放前夕反蒋斗争、解放初期剿匪斗争、半边天文化、“大三线”建设等红色历史文化资源，发挥息烽集中营革命历史纪念馆和乌江峡全国红色旅游经典景区引领作用，开发打造集专题讲授、体验培训、现场教学、情景模拟、理论研究等“研学旅”于一体的“一中心三基地N线路”</w:t>
      </w:r>
      <w:r>
        <w:rPr>
          <w:rFonts w:hint="eastAsia" w:ascii="仿宋_GB2312" w:hAnsi="仿宋_GB2312" w:eastAsia="仿宋_GB2312" w:cs="仿宋_GB2312"/>
          <w:sz w:val="32"/>
          <w:szCs w:val="32"/>
          <w:lang w:eastAsia="zh-CN"/>
        </w:rPr>
        <w:t>贵阳市委党校息烽现场教学基地</w:t>
      </w:r>
      <w:r>
        <w:rPr>
          <w:rFonts w:hint="eastAsia" w:ascii="仿宋_GB2312" w:hAnsi="仿宋_GB2312" w:eastAsia="仿宋_GB2312" w:cs="仿宋_GB2312"/>
          <w:sz w:val="32"/>
          <w:szCs w:val="32"/>
        </w:rPr>
        <w:t>。建成息烽干部党性教育培训中心、党风廉政教育馆、党员政治生活馆；完成息烽集中营革命历史纪念馆提升改造；修复流长前奔南渡乌江战斗遗址</w:t>
      </w:r>
      <w:r>
        <w:rPr>
          <w:rFonts w:hint="eastAsia" w:ascii="仿宋_GB2312" w:hAnsi="仿宋_GB2312" w:eastAsia="仿宋_GB2312" w:cs="仿宋_GB2312"/>
          <w:sz w:val="32"/>
          <w:szCs w:val="32"/>
          <w:lang w:val="en-US" w:eastAsia="zh-CN"/>
        </w:rPr>
        <w:t>碉堡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提升改造中国工农红军南渡乌江纪念广场和没良坑红军烈士殉难处纪念设施，建设马鞍山红军临时指挥部旧址陈列室，修建泡木井、黄沙渡红军长征宿营地及</w:t>
      </w:r>
      <w:r>
        <w:rPr>
          <w:rFonts w:hint="eastAsia" w:ascii="仿宋_GB2312" w:hAnsi="仿宋_GB2312" w:eastAsia="仿宋_GB2312" w:cs="仿宋_GB2312"/>
          <w:color w:val="000000"/>
          <w:kern w:val="0"/>
          <w:sz w:val="32"/>
          <w:szCs w:val="32"/>
        </w:rPr>
        <w:t>鹿窝镇报恩寺红军烈士陵园</w:t>
      </w:r>
      <w:r>
        <w:rPr>
          <w:rFonts w:hint="eastAsia" w:ascii="仿宋_GB2312" w:hAnsi="仿宋_GB2312" w:eastAsia="仿宋_GB2312" w:cs="仿宋_GB2312"/>
          <w:color w:val="000000"/>
          <w:sz w:val="32"/>
          <w:szCs w:val="32"/>
        </w:rPr>
        <w:t>，完善红军长征江口至罗家山现场体验教学步道、旅游公厕等设施；</w:t>
      </w:r>
      <w:r>
        <w:rPr>
          <w:rFonts w:hint="eastAsia" w:ascii="仿宋_GB2312" w:hAnsi="仿宋_GB2312" w:eastAsia="仿宋_GB2312" w:cs="仿宋_GB2312"/>
          <w:sz w:val="32"/>
          <w:szCs w:val="32"/>
        </w:rPr>
        <w:t>改造提升南山红色书院，完善美丽南山田园综合体红色拓展训练营地拓展场所、线路；提升各现场教学点连接公路等级，完善供水、供电、通讯、停车、游客接待等设施；整合社会资金开发民宿、农家乐、便利店、民俗表演场等接待设施。加强与上级党校、党研室和其他党史研究机构合作，做好以传承红色基因为主题的课件开发，培育服务团队，建强师资队伍，提升干部党性教育宣传推广和落地接待服务水平，打造省内一流、国内知名的红色旅游经典景区和</w:t>
      </w:r>
      <w:r>
        <w:rPr>
          <w:rFonts w:hint="eastAsia" w:ascii="仿宋_GB2312" w:hAnsi="仿宋_GB2312" w:eastAsia="仿宋_GB2312" w:cs="仿宋_GB2312"/>
          <w:sz w:val="32"/>
          <w:szCs w:val="32"/>
          <w:lang w:eastAsia="zh-CN"/>
        </w:rPr>
        <w:t>贵阳市委党校息烽现场教学基地</w:t>
      </w:r>
      <w:r>
        <w:rPr>
          <w:rFonts w:hint="eastAsia" w:ascii="仿宋_GB2312" w:hAnsi="仿宋_GB2312" w:eastAsia="仿宋_GB2312" w:cs="仿宋_GB2312"/>
          <w:sz w:val="32"/>
          <w:szCs w:val="32"/>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95E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noWrap w:val="0"/>
            <w:vAlign w:val="top"/>
          </w:tcPr>
          <w:p w14:paraId="7378D4BC">
            <w:pPr>
              <w:spacing w:line="520" w:lineRule="exact"/>
              <w:jc w:val="center"/>
              <w:rPr>
                <w:rFonts w:hint="eastAsia" w:ascii="仿宋_GB2312" w:hAnsi="仿宋_GB2312" w:eastAsia="仿宋_GB2312" w:cs="仿宋_GB2312"/>
                <w:b/>
                <w:bCs/>
                <w:strike/>
                <w:sz w:val="24"/>
                <w:szCs w:val="24"/>
                <w:lang w:eastAsia="zh-CN"/>
              </w:rPr>
            </w:pPr>
            <w:r>
              <w:rPr>
                <w:rFonts w:hint="eastAsia" w:ascii="仿宋_GB2312" w:hAnsi="仿宋_GB2312" w:eastAsia="仿宋_GB2312" w:cs="仿宋_GB2312"/>
                <w:b/>
                <w:bCs/>
                <w:sz w:val="24"/>
                <w:szCs w:val="24"/>
              </w:rPr>
              <w:t>专栏：“一中心三基地</w:t>
            </w:r>
            <w:r>
              <w:rPr>
                <w:rFonts w:ascii="仿宋_GB2312" w:hAnsi="仿宋_GB2312" w:eastAsia="仿宋_GB2312" w:cs="仿宋_GB2312"/>
                <w:b/>
                <w:bCs/>
                <w:sz w:val="24"/>
                <w:szCs w:val="24"/>
              </w:rPr>
              <w:t>N线路”</w:t>
            </w:r>
            <w:r>
              <w:rPr>
                <w:rFonts w:hint="eastAsia" w:ascii="仿宋_GB2312" w:hAnsi="仿宋_GB2312" w:eastAsia="仿宋_GB2312" w:cs="仿宋_GB2312"/>
                <w:b/>
                <w:bCs/>
                <w:sz w:val="24"/>
                <w:szCs w:val="24"/>
                <w:lang w:eastAsia="zh-CN"/>
              </w:rPr>
              <w:t>贵阳市委党校息烽现场教学基地</w:t>
            </w:r>
          </w:p>
          <w:p w14:paraId="0AF8C244">
            <w:pPr>
              <w:spacing w:line="52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“一中心”：</w:t>
            </w:r>
            <w:r>
              <w:rPr>
                <w:rFonts w:hint="eastAsia" w:ascii="仿宋_GB2312" w:hAnsi="仿宋_GB2312" w:eastAsia="仿宋_GB2312" w:cs="仿宋_GB2312"/>
                <w:sz w:val="24"/>
                <w:szCs w:val="24"/>
              </w:rPr>
              <w:t>即新建息烽干部党性教育培训中心。依托在建的红色息烽干部党性教育培训中心，结合县级层面提出的体育馆、红色步行街、南山片区重点项目建设，结合中心功能及“商文旅”融合发展需求，扩展更新露营基地，加大力度补充完善培训教育设施，建成具有息烽红色文化特质的教育培训中心。</w:t>
            </w:r>
          </w:p>
          <w:p w14:paraId="3F4E3ACA">
            <w:pPr>
              <w:spacing w:line="52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“三基地”：</w:t>
            </w:r>
            <w:r>
              <w:rPr>
                <w:rFonts w:hint="eastAsia" w:ascii="仿宋_GB2312" w:hAnsi="仿宋_GB2312" w:eastAsia="仿宋_GB2312" w:cs="仿宋_GB2312"/>
                <w:sz w:val="24"/>
                <w:szCs w:val="24"/>
              </w:rPr>
              <w:t>即纪念馆基地、“</w:t>
            </w:r>
            <w:r>
              <w:rPr>
                <w:rFonts w:hint="eastAsia" w:ascii="仿宋_GB2312" w:hAnsi="仿宋_GB2312" w:eastAsia="仿宋_GB2312" w:cs="仿宋_GB2312"/>
                <w:sz w:val="24"/>
                <w:szCs w:val="24"/>
                <w:lang w:val="en-US" w:eastAsia="zh-CN"/>
              </w:rPr>
              <w:t>长征国家文化公园息烽建设区</w:t>
            </w:r>
            <w:r>
              <w:rPr>
                <w:rFonts w:hint="eastAsia" w:ascii="仿宋_GB2312" w:hAnsi="仿宋_GB2312" w:eastAsia="仿宋_GB2312" w:cs="仿宋_GB2312"/>
                <w:sz w:val="24"/>
                <w:szCs w:val="24"/>
              </w:rPr>
              <w:t>”基地、息烽大党建促大发展基地。纪念馆基地建设：制定纪念馆活动广场、展厅、游客休息区、忠魂曲雕塑、展厅外墙等区域进行提质改造工程，同时新建玄天洞、张露萍等七烈士陵园游客接待中心，配建交通、公厕、绿化、给排水等旅游服务设施。</w:t>
            </w:r>
            <w:r>
              <w:rPr>
                <w:rFonts w:hint="eastAsia" w:ascii="仿宋_GB2312" w:hAnsi="仿宋_GB2312" w:eastAsia="仿宋_GB2312" w:cs="仿宋_GB2312"/>
                <w:sz w:val="24"/>
                <w:szCs w:val="24"/>
                <w:lang w:val="en-US" w:eastAsia="zh-CN"/>
              </w:rPr>
              <w:t>长征国家文化公园息烽建设区</w:t>
            </w:r>
            <w:r>
              <w:rPr>
                <w:rFonts w:hint="eastAsia" w:ascii="仿宋_GB2312" w:hAnsi="仿宋_GB2312" w:eastAsia="仿宋_GB2312" w:cs="仿宋_GB2312"/>
                <w:sz w:val="24"/>
                <w:szCs w:val="24"/>
              </w:rPr>
              <w:t>建设：推进流长、鹿窝、九庄、小寨坝、西山、永靖、青山等相关战斗遗址保护与修复，并完善公厕、停车场、步道、美化亮化等基础设施建设，逐步完成党校培训环境建设工程。大党建促大发展基地建设：以“大党建促大发展”为核心理念，推动“党建</w:t>
            </w:r>
            <w:r>
              <w:rPr>
                <w:rFonts w:ascii="仿宋_GB2312" w:hAnsi="仿宋_GB2312" w:eastAsia="仿宋_GB2312" w:cs="仿宋_GB2312"/>
                <w:sz w:val="24"/>
                <w:szCs w:val="24"/>
              </w:rPr>
              <w:t>+管理”“党建+产业”“党建+扶贫”带动城乡经济、社会发展，助力息烽县</w:t>
            </w:r>
            <w:r>
              <w:rPr>
                <w:rFonts w:hint="eastAsia" w:ascii="仿宋_GB2312" w:hAnsi="仿宋_GB2312" w:eastAsia="仿宋_GB2312" w:cs="仿宋_GB2312"/>
                <w:sz w:val="24"/>
                <w:szCs w:val="24"/>
              </w:rPr>
              <w:t>乡村产业发展，推动南山田园综合体、西山归田园居等重要项目成为党建综合体，统一党建管理，助力农村产业实现振兴。</w:t>
            </w:r>
          </w:p>
          <w:p w14:paraId="7EAC075A">
            <w:pPr>
              <w:spacing w:line="52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“Ｎ线路”：</w:t>
            </w:r>
            <w:r>
              <w:rPr>
                <w:rFonts w:hint="eastAsia" w:ascii="仿宋_GB2312" w:hAnsi="仿宋_GB2312" w:eastAsia="仿宋_GB2312" w:cs="仿宋_GB2312"/>
                <w:sz w:val="24"/>
                <w:szCs w:val="24"/>
              </w:rPr>
              <w:t>即多条现场教学线路。包含“中心－纪念馆－杨虎城将军囚禁处－张露萍等七烈士陵园－易地扶贫搬迁永靖安置点－南山驿站教学线路”“中心－潮水战斗遗址－半边天文化陈列馆－王涌波烈士陵园－劳模大楼教学线路”“中心－泡木井－江口—马沟－黄沙渡口－九庄红军烈士陵园”等</w:t>
            </w:r>
            <w:r>
              <w:rPr>
                <w:rFonts w:ascii="仿宋_GB2312" w:hAnsi="仿宋_GB2312" w:eastAsia="仿宋_GB2312" w:cs="仿宋_GB2312"/>
                <w:sz w:val="24"/>
                <w:szCs w:val="24"/>
              </w:rPr>
              <w:t>3条精品线路</w:t>
            </w:r>
            <w:r>
              <w:rPr>
                <w:rFonts w:hint="eastAsia" w:ascii="仿宋_GB2312" w:hAnsi="仿宋_GB2312" w:eastAsia="仿宋_GB2312" w:cs="仿宋_GB2312"/>
                <w:sz w:val="24"/>
                <w:szCs w:val="24"/>
              </w:rPr>
              <w:t>在内的教学线路</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以“一中心”为轴心，将县域内革命遗址、传统文化、特色乡村、脱贫攻坚、乡村振兴等资源逐步开发出来，打造各具特色的现场教学点（旅游景点），同时加大对外合作，按照</w:t>
            </w:r>
            <w:r>
              <w:rPr>
                <w:rFonts w:ascii="仿宋_GB2312" w:hAnsi="仿宋_GB2312" w:eastAsia="仿宋_GB2312" w:cs="仿宋_GB2312"/>
                <w:sz w:val="24"/>
                <w:szCs w:val="24"/>
              </w:rPr>
              <w:t>3天以上教学安排把遵义、贵阳等地的资源连接起来，形成多条有故事、有内涵、有深度的“红色+”教学（旅游）精品线路。</w:t>
            </w:r>
          </w:p>
        </w:tc>
      </w:tr>
    </w:tbl>
    <w:p w14:paraId="05D705FF">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537" w:name="_Toc18447"/>
      <w:bookmarkStart w:id="538" w:name="_Toc6524"/>
      <w:bookmarkStart w:id="539" w:name="_Toc3835"/>
      <w:bookmarkStart w:id="540" w:name="_Toc49344404"/>
      <w:bookmarkStart w:id="541" w:name="_Toc19834"/>
      <w:bookmarkStart w:id="542" w:name="_Toc58580317"/>
      <w:bookmarkStart w:id="543" w:name="_Toc20878"/>
      <w:bookmarkStart w:id="544" w:name="_Toc6037"/>
      <w:bookmarkStart w:id="545" w:name="_Toc61193818"/>
      <w:bookmarkStart w:id="546" w:name="_Toc25553"/>
      <w:bookmarkStart w:id="547" w:name="_Toc27560"/>
      <w:bookmarkStart w:id="548" w:name="_Toc2715"/>
      <w:bookmarkStart w:id="549" w:name="_Toc21194"/>
      <w:bookmarkStart w:id="550" w:name="_Toc14386"/>
      <w:bookmarkStart w:id="551" w:name="_Toc17080"/>
      <w:bookmarkStart w:id="552" w:name="_Toc17431"/>
      <w:bookmarkStart w:id="553" w:name="_Toc23012"/>
      <w:r>
        <w:rPr>
          <w:rFonts w:hint="eastAsia" w:ascii="方正小标宋简体" w:hAnsi="方正小标宋简体" w:eastAsia="方正小标宋简体" w:cs="方正小标宋简体"/>
          <w:b w:val="0"/>
          <w:bCs w:val="0"/>
          <w:kern w:val="0"/>
        </w:rPr>
        <w:t>第二节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打造“百里氡温泉城”</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集聚健康养生产业</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7628B68D">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立足“氡泉之城”城市定位，结合贵州省打造“温泉省”的政策引导，充分发挥优质氡温泉资源优势，做特做优氡温泉养生产业。结合文化、森林、美食、避暑等资源，按照“双轴三环四组团”空间布局和“一泉一特”要求，梯次开发氡泉产业，实现错位发展、特色发展，激发温泉旅游消费潜力。到2025年，完成南山温泉、林丰温泉、柏香山温泉3个温泉项目,温泉旅游年接待游客突破260万人次，旅游综合收入达20亿元以上。</w:t>
      </w:r>
      <w:r>
        <w:rPr>
          <w:rFonts w:hint="eastAsia" w:ascii="仿宋_GB2312" w:hAnsi="仿宋_GB2312" w:eastAsia="仿宋_GB2312" w:cs="仿宋_GB2312"/>
          <w:bCs/>
          <w:sz w:val="32"/>
          <w:szCs w:val="32"/>
        </w:rPr>
        <w:t>打造以“温泉+”模式多产业融合发展,加强与旅游、康养、休闲等深度融合,推进温泉产业向精致化、高端化、产业化发展，通过温泉小镇、温泉地产、生态康养院等建设，形成各具特色的“百里氡温泉大健康养生养老产业集聚区”。</w:t>
      </w:r>
      <w:r>
        <w:rPr>
          <w:rFonts w:hint="eastAsia" w:ascii="仿宋_GB2312" w:hAnsi="仿宋_GB2312" w:eastAsia="仿宋_GB2312" w:cs="仿宋_GB2312"/>
          <w:sz w:val="32"/>
          <w:szCs w:val="32"/>
        </w:rPr>
        <w:t>为积极融入“健康贵州”战略、建设“健康息烽”的发展目标奠定坚实基础。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ACC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B5F7842">
            <w:pPr>
              <w:pStyle w:val="1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温泉四组团</w:t>
            </w:r>
          </w:p>
          <w:p w14:paraId="797F3BD6">
            <w:pPr>
              <w:pStyle w:val="10"/>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建设南部温泉产业组团</w:t>
            </w:r>
            <w:r>
              <w:rPr>
                <w:rFonts w:hint="eastAsia" w:ascii="仿宋_GB2312" w:hAnsi="仿宋_GB2312" w:eastAsia="仿宋_GB2312" w:cs="仿宋_GB2312"/>
                <w:sz w:val="24"/>
                <w:szCs w:val="24"/>
              </w:rPr>
              <w:t>，突出避暑休闲功能，以永靖南山温泉旅游为主的氡温泉特色旅游小镇、塘坎温泉建设为核心，联动开发南山田园综合体、青山苗族文化旅游特色小镇，支持入驻企业加快推进旅游地产项目，建成城乡融合、医养结合的大型养老社区。</w:t>
            </w:r>
          </w:p>
          <w:p w14:paraId="3A0F8670">
            <w:pPr>
              <w:pStyle w:val="10"/>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建设中部温泉产业组团</w:t>
            </w:r>
            <w:r>
              <w:rPr>
                <w:rFonts w:hint="eastAsia" w:ascii="仿宋_GB2312" w:hAnsi="仿宋_GB2312" w:eastAsia="仿宋_GB2312" w:cs="仿宋_GB2312"/>
                <w:sz w:val="24"/>
                <w:szCs w:val="24"/>
              </w:rPr>
              <w:t>，突出商贸会展功能，以林丰温泉、柏香山温泉为核心，联动开发西望山、红岩葡萄沟等旅游资源。</w:t>
            </w:r>
          </w:p>
          <w:p w14:paraId="41575260">
            <w:pPr>
              <w:pStyle w:val="10"/>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建设东部温泉产业组团</w:t>
            </w:r>
            <w:r>
              <w:rPr>
                <w:rFonts w:hint="eastAsia" w:ascii="仿宋_GB2312" w:hAnsi="仿宋_GB2312" w:eastAsia="仿宋_GB2312" w:cs="仿宋_GB2312"/>
                <w:sz w:val="24"/>
                <w:szCs w:val="24"/>
              </w:rPr>
              <w:t>，突出疗养度假功能，以息烽温泉、上寨温泉为核心，联动开发“半边天”等文化旅游资源。</w:t>
            </w:r>
          </w:p>
          <w:p w14:paraId="217E487C">
            <w:pPr>
              <w:pStyle w:val="10"/>
              <w:spacing w:line="560" w:lineRule="exact"/>
              <w:ind w:firstLine="482" w:firstLineChars="200"/>
            </w:pPr>
            <w:r>
              <w:rPr>
                <w:rFonts w:hint="eastAsia" w:ascii="仿宋_GB2312" w:hAnsi="仿宋_GB2312" w:eastAsia="仿宋_GB2312" w:cs="仿宋_GB2312"/>
                <w:b/>
                <w:bCs/>
                <w:sz w:val="24"/>
                <w:szCs w:val="24"/>
              </w:rPr>
              <w:t>建设北部温泉产业组团</w:t>
            </w:r>
            <w:r>
              <w:rPr>
                <w:rFonts w:hint="eastAsia" w:ascii="仿宋_GB2312" w:hAnsi="仿宋_GB2312" w:eastAsia="仿宋_GB2312" w:cs="仿宋_GB2312"/>
                <w:sz w:val="24"/>
                <w:szCs w:val="24"/>
              </w:rPr>
              <w:t>，突出山地养生功能，以罗家山温泉为核心，联动开发乌江峡等旅游资源。</w:t>
            </w:r>
          </w:p>
        </w:tc>
      </w:tr>
    </w:tbl>
    <w:p w14:paraId="4016BAAE">
      <w:pPr>
        <w:pStyle w:val="10"/>
      </w:pPr>
    </w:p>
    <w:p w14:paraId="76145516">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554" w:name="_Toc3893"/>
      <w:bookmarkStart w:id="555" w:name="_Toc21501"/>
      <w:bookmarkStart w:id="556" w:name="_Toc58580318"/>
      <w:bookmarkStart w:id="557" w:name="_Toc7070"/>
      <w:bookmarkStart w:id="558" w:name="_Toc1988"/>
      <w:bookmarkStart w:id="559" w:name="_Toc322"/>
      <w:bookmarkStart w:id="560" w:name="_Toc21107"/>
      <w:bookmarkStart w:id="561" w:name="_Toc20524"/>
      <w:bookmarkStart w:id="562" w:name="_Toc15131"/>
      <w:bookmarkStart w:id="563" w:name="_Toc25931"/>
      <w:bookmarkStart w:id="564" w:name="_Toc8441"/>
      <w:bookmarkStart w:id="565" w:name="_Toc61193819"/>
      <w:bookmarkStart w:id="566" w:name="_Toc27819"/>
      <w:bookmarkStart w:id="567" w:name="_Toc3306"/>
      <w:bookmarkStart w:id="568" w:name="_Toc49344405"/>
      <w:bookmarkStart w:id="569" w:name="_Toc2723"/>
      <w:bookmarkStart w:id="570" w:name="_Toc9913"/>
      <w:r>
        <w:rPr>
          <w:rFonts w:hint="eastAsia" w:ascii="方正小标宋简体" w:hAnsi="方正小标宋简体" w:eastAsia="方正小标宋简体" w:cs="方正小标宋简体"/>
          <w:b w:val="0"/>
          <w:bCs w:val="0"/>
          <w:kern w:val="0"/>
        </w:rPr>
        <w:t>第三节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打造大型核心景区  带动旅游融合发展</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02B224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旅游发展有核心景区支撑、有大型景区引领。依托区域体量大、生态优良、资源丰富、类型多样、文化多元的乌江峡、西望山，科学编制息烽“一江一山”旅游开发规划，加强凤池寺、矍昙寺、华严寺、毗卢寺遗址和盟誓碑、摩崖、古渡等文物资源的保护和开发利用，争取项目资金建设完善景区水、电、路、讯及旅游步道、旅游公厕等设施。吸引有实力的企业投资景区建设。依托景区丰富的历史、宗教、民俗等文化资源，开发观光游览、文化体验、旅游研学、文化产品等项目，发展文化旅游产业；依托景区山地、峡谷、河流、森林、草甸等资源，开发滑翔伞、</w:t>
      </w:r>
      <w:r>
        <w:rPr>
          <w:rFonts w:hint="eastAsia" w:ascii="仿宋_GB2312" w:hAnsi="仿宋_GB2312" w:eastAsia="仿宋_GB2312" w:cs="仿宋_GB2312"/>
          <w:bCs/>
          <w:sz w:val="32"/>
          <w:szCs w:val="32"/>
        </w:rPr>
        <w:t>热气球、</w:t>
      </w:r>
      <w:r>
        <w:rPr>
          <w:rFonts w:hint="eastAsia" w:ascii="仿宋_GB2312" w:hAnsi="仿宋_GB2312" w:eastAsia="仿宋_GB2312" w:cs="仿宋_GB2312"/>
          <w:sz w:val="32"/>
          <w:szCs w:val="32"/>
        </w:rPr>
        <w:t>山地越野、</w:t>
      </w:r>
      <w:r>
        <w:rPr>
          <w:rFonts w:hint="eastAsia" w:ascii="仿宋_GB2312" w:hAnsi="仿宋_GB2312" w:eastAsia="仿宋_GB2312" w:cs="仿宋_GB2312"/>
          <w:bCs/>
          <w:sz w:val="32"/>
          <w:szCs w:val="32"/>
        </w:rPr>
        <w:t>漂流、蹦极、泳渡、龙舟、攀岩、滑草</w:t>
      </w:r>
      <w:r>
        <w:rPr>
          <w:rFonts w:hint="eastAsia" w:ascii="仿宋_GB2312" w:hAnsi="仿宋_GB2312" w:eastAsia="仿宋_GB2312" w:cs="仿宋_GB2312"/>
          <w:sz w:val="32"/>
          <w:szCs w:val="32"/>
        </w:rPr>
        <w:t>等体育旅游项目，发展体育旅游产业；整合分散在农户手中的土地、林地、山塘、房屋等资源，吸纳社会资金和民间资本，投入乡村客栈、民宿、农家乐等接待设施建设，发展乡村旅游产业。研究完善景区资源共享、设施共建、利益共赢的综合开发体制机制，将乌江峡—西望山打造成引领全县旅游业提速发展的大型核心景区。辐射带动多缤洞地心魔幻世界及乡村旅游、特色小镇、温泉酒店等产业发展。</w:t>
      </w:r>
    </w:p>
    <w:p w14:paraId="65E4AD85">
      <w:pPr>
        <w:pStyle w:val="15"/>
        <w:widowControl/>
        <w:spacing w:after="0" w:afterLines="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用好用足国家实施乡村振兴战略政策和项目资金，以美丽南山田园综合体为示范，融合各种乡村资源，开发花园、果园、菜园、茶园、渔场、牧场等项目，鼓励乡村居民发展住宿、餐饮、民俗文化产业，全面推进各乡镇田园综合体建设。结合乡村丰收季、盛花期，组织开展“中国农民丰收节”和各种观花季、采摘季、民俗文化节等活动，发展田园观光、农事体验、农业科普、民俗文化、避暑度假等旅游业态，逐步将息烽全境打造成一个大型的田园综合体，推进实现乡村振兴战略目标。</w:t>
      </w:r>
    </w:p>
    <w:p w14:paraId="5BE05B9A">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571" w:name="_Toc49344408"/>
      <w:bookmarkStart w:id="572" w:name="_Toc12188"/>
      <w:bookmarkStart w:id="573" w:name="_Toc18691"/>
      <w:bookmarkStart w:id="574" w:name="_Toc31098"/>
      <w:bookmarkStart w:id="575" w:name="_Toc29724"/>
      <w:bookmarkStart w:id="576" w:name="_Toc25969"/>
      <w:bookmarkStart w:id="577" w:name="_Toc61193820"/>
      <w:bookmarkStart w:id="578" w:name="_Toc18149"/>
      <w:bookmarkStart w:id="579" w:name="_Toc5243"/>
      <w:bookmarkStart w:id="580" w:name="_Toc25072"/>
      <w:bookmarkStart w:id="581" w:name="_Toc13867"/>
      <w:bookmarkStart w:id="582" w:name="_Toc23715"/>
      <w:bookmarkStart w:id="583" w:name="_Toc24204"/>
      <w:bookmarkStart w:id="584" w:name="_Toc9430"/>
      <w:bookmarkStart w:id="585" w:name="_Toc58580319"/>
      <w:bookmarkStart w:id="586" w:name="_Toc5652"/>
      <w:bookmarkStart w:id="587" w:name="_Toc10085"/>
      <w:r>
        <w:rPr>
          <w:rFonts w:hint="eastAsia" w:ascii="方正小标宋简体" w:hAnsi="方正小标宋简体" w:eastAsia="方正小标宋简体" w:cs="方正小标宋简体"/>
          <w:b w:val="0"/>
          <w:bCs w:val="0"/>
          <w:kern w:val="0"/>
        </w:rPr>
        <w:t>第四节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开发特色旅游商品</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建设智慧</w:t>
      </w:r>
      <w:bookmarkEnd w:id="571"/>
      <w:r>
        <w:rPr>
          <w:rFonts w:hint="eastAsia" w:ascii="方正小标宋简体" w:hAnsi="方正小标宋简体" w:eastAsia="方正小标宋简体" w:cs="方正小标宋简体"/>
          <w:b w:val="0"/>
          <w:bCs w:val="0"/>
          <w:kern w:val="0"/>
        </w:rPr>
        <w:t>旅游平台</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20B1199B">
      <w:pPr>
        <w:pStyle w:val="15"/>
        <w:widowControl/>
        <w:spacing w:after="0" w:afterLines="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统一品牌名称，统一包装设计，统一促销路径，抓好地方农特产品、特色工艺品的生产加工，畅通线上线下物流渠道，立足游客需求，开发创新地方特色美食，研发制造发展适销对路的旅游商品和文化纪念品。积极组建一支专业基础扎实、市场敏锐、擅长经营管理的产品运营、开发人才队伍，加大旅游产品创新投入，开发息烽文化IP，融合发展文创产业，开发价格适中、品质优良的文创产品，升级旅游产品品质。到2</w:t>
      </w:r>
      <w:r>
        <w:rPr>
          <w:rFonts w:ascii="仿宋_GB2312" w:hAnsi="仿宋_GB2312" w:eastAsia="仿宋_GB2312" w:cs="仿宋_GB2312"/>
          <w:kern w:val="2"/>
          <w:sz w:val="32"/>
          <w:szCs w:val="32"/>
        </w:rPr>
        <w:t>025</w:t>
      </w:r>
      <w:r>
        <w:rPr>
          <w:rFonts w:hint="eastAsia" w:ascii="仿宋_GB2312" w:hAnsi="仿宋_GB2312" w:eastAsia="仿宋_GB2312" w:cs="仿宋_GB2312"/>
          <w:kern w:val="2"/>
          <w:sz w:val="32"/>
          <w:szCs w:val="32"/>
        </w:rPr>
        <w:t>年，打造一批旅游购物名街名店，推出一批特色旅游商品，培育旅游高端消费，延长旅游产业链条，增加旅游产业收益，带动地方特色经济和第三产业全面发展。</w:t>
      </w:r>
    </w:p>
    <w:p w14:paraId="36498E5C">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5G网络建设，推行“平台建设+运营服务”进行景区开发运营，发展智慧景区，完善线上线下相结合的旅游促销、旅游服务、旅游投诉处理信息化服务系统，不断提高旅游业务综合管理与运营能力，积极融入贵州线上旅游平台建设，提升息烽旅游服务信息化水平。培育发展一批旅游服务企业，强化旅游从业人员培训，全面提升旅游服务水平，提高旅游服务品质，创建优质的旅游生态环境。推动旅游产业发展一体化、服务智能化、产业现代化，在提升息烽旅游知名度和美誉度的同时，实现旅游经济快速、持续、健康发展。</w:t>
      </w:r>
    </w:p>
    <w:p w14:paraId="5B51A822">
      <w:pPr>
        <w:widowControl/>
        <w:spacing w:line="560" w:lineRule="exact"/>
        <w:ind w:firstLine="640" w:firstLineChars="200"/>
        <w:rPr>
          <w:rFonts w:ascii="仿宋_GB2312" w:hAnsi="仿宋_GB2312" w:eastAsia="仿宋_GB2312" w:cs="仿宋_GB2312"/>
          <w:sz w:val="32"/>
          <w:szCs w:val="32"/>
        </w:rPr>
      </w:pPr>
    </w:p>
    <w:bookmarkEnd w:id="438"/>
    <w:p w14:paraId="0A407D8D">
      <w:pPr>
        <w:widowControl/>
        <w:jc w:val="center"/>
        <w:outlineLvl w:val="0"/>
        <w:rPr>
          <w:rFonts w:hint="eastAsia" w:ascii="方正小标宋简体" w:hAnsi="方正小标宋简体" w:eastAsia="方正小标宋简体" w:cs="方正小标宋简体"/>
          <w:b/>
          <w:bCs/>
          <w:sz w:val="36"/>
          <w:szCs w:val="36"/>
        </w:rPr>
      </w:pPr>
      <w:bookmarkStart w:id="588" w:name="_Toc58580320"/>
      <w:bookmarkStart w:id="589" w:name="_Toc20495"/>
      <w:bookmarkStart w:id="590" w:name="_Toc6654"/>
      <w:bookmarkStart w:id="591" w:name="_Toc4252"/>
      <w:bookmarkStart w:id="592" w:name="_Toc16803"/>
      <w:bookmarkStart w:id="593" w:name="_Toc1213"/>
      <w:bookmarkStart w:id="594" w:name="_Toc61193821"/>
      <w:bookmarkStart w:id="595" w:name="_Toc11265"/>
      <w:bookmarkStart w:id="596" w:name="_Toc9850"/>
    </w:p>
    <w:p w14:paraId="11854E10">
      <w:pPr>
        <w:widowControl/>
        <w:jc w:val="center"/>
        <w:outlineLvl w:val="0"/>
        <w:rPr>
          <w:rFonts w:hint="eastAsia" w:ascii="方正小标宋简体" w:hAnsi="方正小标宋简体" w:eastAsia="方正小标宋简体" w:cs="方正小标宋简体"/>
          <w:b/>
          <w:bCs/>
          <w:sz w:val="36"/>
          <w:szCs w:val="36"/>
        </w:rPr>
      </w:pPr>
    </w:p>
    <w:p w14:paraId="57A06B96">
      <w:pPr>
        <w:widowControl/>
        <w:jc w:val="center"/>
        <w:outlineLvl w:val="0"/>
        <w:rPr>
          <w:rFonts w:hint="eastAsia" w:ascii="方正小标宋简体" w:hAnsi="方正小标宋简体" w:eastAsia="方正小标宋简体" w:cs="方正小标宋简体"/>
          <w:b w:val="0"/>
          <w:bCs w:val="0"/>
          <w:spacing w:val="-11"/>
          <w:sz w:val="36"/>
          <w:szCs w:val="36"/>
        </w:rPr>
      </w:pPr>
      <w:bookmarkStart w:id="597" w:name="_Toc22000"/>
      <w:bookmarkStart w:id="598" w:name="_Toc31765"/>
      <w:bookmarkStart w:id="599" w:name="_Toc9485"/>
      <w:bookmarkStart w:id="600" w:name="_Toc31401"/>
      <w:bookmarkStart w:id="601" w:name="_Toc4895"/>
      <w:bookmarkStart w:id="602" w:name="_Toc26952"/>
    </w:p>
    <w:p w14:paraId="5F2FD536">
      <w:pPr>
        <w:widowControl/>
        <w:jc w:val="center"/>
        <w:outlineLvl w:val="0"/>
        <w:rPr>
          <w:rFonts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b w:val="0"/>
          <w:bCs w:val="0"/>
          <w:spacing w:val="-11"/>
          <w:sz w:val="36"/>
          <w:szCs w:val="36"/>
        </w:rPr>
        <w:t xml:space="preserve">第十章  </w:t>
      </w:r>
      <w:bookmarkStart w:id="603" w:name="_Toc25738"/>
      <w:r>
        <w:rPr>
          <w:rFonts w:hint="eastAsia" w:ascii="方正小标宋简体" w:hAnsi="方正小标宋简体" w:eastAsia="方正小标宋简体" w:cs="方正小标宋简体"/>
          <w:b w:val="0"/>
          <w:bCs w:val="0"/>
          <w:spacing w:val="-11"/>
          <w:sz w:val="36"/>
          <w:szCs w:val="36"/>
        </w:rPr>
        <w:t>坚持生态优先绿色发展</w:t>
      </w:r>
      <w:r>
        <w:rPr>
          <w:rFonts w:hint="eastAsia" w:ascii="方正小标宋简体" w:hAnsi="方正小标宋简体" w:eastAsia="方正小标宋简体" w:cs="方正小标宋简体"/>
          <w:b w:val="0"/>
          <w:bCs w:val="0"/>
          <w:spacing w:val="-11"/>
          <w:sz w:val="36"/>
          <w:szCs w:val="36"/>
          <w:lang w:val="en-US" w:eastAsia="zh-CN"/>
        </w:rPr>
        <w:t xml:space="preserve">  高质量</w:t>
      </w:r>
      <w:r>
        <w:rPr>
          <w:rFonts w:hint="eastAsia" w:ascii="方正小标宋简体" w:hAnsi="方正小标宋简体" w:eastAsia="方正小标宋简体" w:cs="方正小标宋简体"/>
          <w:b w:val="0"/>
          <w:bCs w:val="0"/>
          <w:spacing w:val="-11"/>
          <w:sz w:val="36"/>
          <w:szCs w:val="36"/>
        </w:rPr>
        <w:t>建设美丽息烽</w:t>
      </w:r>
      <w:bookmarkEnd w:id="588"/>
      <w:bookmarkEnd w:id="589"/>
      <w:bookmarkEnd w:id="590"/>
      <w:bookmarkEnd w:id="591"/>
      <w:bookmarkEnd w:id="592"/>
      <w:bookmarkEnd w:id="593"/>
      <w:bookmarkEnd w:id="594"/>
      <w:bookmarkEnd w:id="595"/>
      <w:bookmarkEnd w:id="597"/>
      <w:bookmarkEnd w:id="598"/>
      <w:bookmarkEnd w:id="599"/>
      <w:bookmarkEnd w:id="600"/>
      <w:bookmarkEnd w:id="601"/>
      <w:bookmarkEnd w:id="602"/>
      <w:bookmarkEnd w:id="603"/>
    </w:p>
    <w:p w14:paraId="393F5994">
      <w:pPr>
        <w:pStyle w:val="10"/>
      </w:pPr>
    </w:p>
    <w:p w14:paraId="36E40675">
      <w:pPr>
        <w:tabs>
          <w:tab w:val="left" w:pos="1440"/>
        </w:tabs>
        <w:adjustRightInd w:val="0"/>
        <w:snapToGrid w:val="0"/>
        <w:spacing w:line="520" w:lineRule="exact"/>
        <w:ind w:firstLine="688"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12"/>
          <w:kern w:val="0"/>
          <w:sz w:val="32"/>
          <w:szCs w:val="32"/>
          <w:shd w:val="clear" w:color="auto" w:fill="FFFFFF"/>
        </w:rPr>
        <w:t>牢固树立绿水青山就是金山银山理念，坚决贯彻落实推动长江经济带“共抓大保护、不搞大开发”要求，</w:t>
      </w:r>
      <w:r>
        <w:rPr>
          <w:rFonts w:hint="eastAsia" w:ascii="Times New Roman" w:hAnsi="Times New Roman" w:eastAsia="仿宋_GB2312" w:cs="Times New Roman"/>
          <w:sz w:val="32"/>
          <w:szCs w:val="32"/>
        </w:rPr>
        <w:t>深入实施大生态战略息烽行动，增加绿色空间和生态产品供给，促进经济社会发展全面绿色转型，加快美丽息烽建设。</w:t>
      </w:r>
    </w:p>
    <w:p w14:paraId="36E79D83">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604" w:name="_Toc5624"/>
      <w:bookmarkStart w:id="605" w:name="_Toc3477"/>
      <w:bookmarkStart w:id="606" w:name="_Toc31676"/>
      <w:bookmarkStart w:id="607" w:name="_Toc21135"/>
      <w:bookmarkStart w:id="608" w:name="_Toc1750"/>
      <w:bookmarkStart w:id="609" w:name="_Toc58580321"/>
      <w:bookmarkStart w:id="610" w:name="_Toc5691"/>
      <w:bookmarkStart w:id="611" w:name="_Toc16075"/>
      <w:bookmarkStart w:id="612" w:name="_Toc61193822"/>
      <w:bookmarkStart w:id="613" w:name="_Toc6805"/>
      <w:bookmarkStart w:id="614" w:name="_Toc30705"/>
      <w:bookmarkStart w:id="615" w:name="_Toc7405"/>
      <w:bookmarkStart w:id="616" w:name="_Toc7311"/>
      <w:bookmarkStart w:id="617" w:name="_Toc13885"/>
      <w:bookmarkStart w:id="618" w:name="_Toc6877"/>
      <w:bookmarkStart w:id="619" w:name="_Toc32201"/>
      <w:r>
        <w:rPr>
          <w:rFonts w:hint="eastAsia" w:ascii="方正小标宋简体" w:hAnsi="方正小标宋简体" w:eastAsia="方正小标宋简体" w:cs="方正小标宋简体"/>
          <w:b w:val="0"/>
          <w:bCs w:val="0"/>
          <w:kern w:val="0"/>
        </w:rPr>
        <w:t>第一节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加大生态建设与修复力度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2E5DD3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国土空间规划确定的重点生态功能区、生态保护红线、自然保护地等为重点，围绕乌江水源涵养带、南山生态廊道带、西望山生态保护核心区，明确生态功能敏感重要区域和受损严重区域分布，坚持保护优先、统筹兼顾、科学治理、改革创新原则，统筹山水林田湖草一体化保护和修复。</w:t>
      </w:r>
    </w:p>
    <w:p w14:paraId="7E7B597A">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持续加大生态建设力度</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继续实施天然林保护和防护林建设，持续推进城镇公共绿地、城郊公园、交通沿线绿化带建设，重点提高森林资源质量，培育生态经济兼顾的速生丰产林，增强森林稳定性和抗逆性，进一步增强区域水源涵养、水土保持等生态功能，逐步提升河湖、湿地生态系统稳定性和生态服务功能。到</w:t>
      </w:r>
      <w:r>
        <w:rPr>
          <w:rFonts w:ascii="仿宋_GB2312" w:hAnsi="仿宋_GB2312" w:eastAsia="仿宋_GB2312" w:cs="仿宋_GB2312"/>
          <w:sz w:val="32"/>
          <w:szCs w:val="32"/>
        </w:rPr>
        <w:t>2025年底，全县森林覆盖率达</w:t>
      </w:r>
      <w:r>
        <w:rPr>
          <w:rFonts w:hint="eastAsia" w:ascii="仿宋_GB2312" w:hAnsi="仿宋_GB2312" w:eastAsia="仿宋_GB2312" w:cs="仿宋_GB2312"/>
          <w:sz w:val="32"/>
          <w:szCs w:val="32"/>
        </w:rPr>
        <w:t>60%</w:t>
      </w:r>
      <w:r>
        <w:rPr>
          <w:rFonts w:ascii="仿宋_GB2312" w:hAnsi="仿宋_GB2312" w:eastAsia="仿宋_GB2312" w:cs="仿宋_GB2312"/>
          <w:sz w:val="32"/>
          <w:szCs w:val="32"/>
        </w:rPr>
        <w:t>。</w:t>
      </w:r>
    </w:p>
    <w:p w14:paraId="4E30A55B">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全面加强生态修复力度。</w:t>
      </w:r>
      <w:r>
        <w:rPr>
          <w:rFonts w:hint="eastAsia" w:ascii="仿宋_GB2312" w:hAnsi="仿宋_GB2312" w:eastAsia="仿宋_GB2312" w:cs="仿宋_GB2312"/>
          <w:sz w:val="32"/>
          <w:szCs w:val="32"/>
        </w:rPr>
        <w:t>设立国土空间生态修复专项资金，建立统一规程、目标衔接、要素融合、政策协同的生态修复长效机制。坚持自然修复为主，人工修复为辅，继续实施退耕还林、矿山生态修复、土地综合整治，推进河湖综合治理，实施农村水系综合治理工程，小流域水土流失综合治理工程，持续改善流域生态环境，进一步提高城镇供水水源地水质。</w:t>
      </w:r>
    </w:p>
    <w:p w14:paraId="101970E6">
      <w:pPr>
        <w:spacing w:line="560" w:lineRule="exact"/>
        <w:ind w:firstLine="643" w:firstLineChars="200"/>
        <w:rPr>
          <w:rFonts w:ascii="Times New Roman" w:hAnsi="Times New Roman" w:eastAsia="仿宋_GB2312" w:cs="Times New Roman"/>
          <w:sz w:val="32"/>
          <w:szCs w:val="32"/>
        </w:rPr>
      </w:pPr>
      <w:r>
        <w:rPr>
          <w:rFonts w:hint="eastAsia" w:ascii="黑体" w:hAnsi="黑体" w:eastAsia="黑体"/>
          <w:b/>
          <w:bCs/>
          <w:sz w:val="32"/>
          <w:szCs w:val="32"/>
        </w:rPr>
        <w:t>扩大绿色生态空间。</w:t>
      </w:r>
      <w:r>
        <w:rPr>
          <w:rFonts w:hint="eastAsia" w:ascii="Times New Roman" w:hAnsi="Times New Roman" w:eastAsia="仿宋_GB2312" w:cs="Times New Roman"/>
          <w:sz w:val="32"/>
          <w:szCs w:val="32"/>
        </w:rPr>
        <w:t>积极满足人民对生态产品的需求，谋划一批重点生态建设项目，把息烽建设成为人与人、人与自然和谐共生的美丽家园。加快构建森林绿地生态体系，充分利用城乡拆迁腾退地、边角地、废弃地和骨干道路沿线等空间，建设“口袋公园”“城市阳台”“人行步道”，形成点、线、面、环相结合的城乡绿地系统。加强城镇、农村公园、道路、居住区绿化工程建设，科学配置树木比例，合理搭配树种，完善景观植物配置，形成主题统一、景观各异的绿地系统，为居民提供良好的景观环境。</w:t>
      </w:r>
    </w:p>
    <w:p w14:paraId="003F9F77">
      <w:pPr>
        <w:pStyle w:val="2"/>
      </w:pPr>
    </w:p>
    <w:tbl>
      <w:tblPr>
        <w:tblStyle w:val="17"/>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8286"/>
      </w:tblGrid>
      <w:tr w14:paraId="4DC9856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600" w:hRule="atLeast"/>
          <w:jc w:val="center"/>
        </w:trPr>
        <w:tc>
          <w:tcPr>
            <w:tcW w:w="8286" w:type="dxa"/>
            <w:tcBorders>
              <w:top w:val="single" w:color="auto" w:sz="8" w:space="0"/>
              <w:left w:val="single" w:color="auto" w:sz="8" w:space="0"/>
              <w:bottom w:val="single" w:color="auto" w:sz="8" w:space="0"/>
              <w:right w:val="single" w:color="auto" w:sz="8" w:space="0"/>
            </w:tcBorders>
            <w:noWrap w:val="0"/>
            <w:tcMar>
              <w:top w:w="15" w:type="dxa"/>
              <w:left w:w="15" w:type="dxa"/>
              <w:bottom w:w="15" w:type="dxa"/>
              <w:right w:w="15" w:type="dxa"/>
            </w:tcMar>
            <w:vAlign w:val="top"/>
          </w:tcPr>
          <w:p w14:paraId="58BE52EB">
            <w:pPr>
              <w:spacing w:line="32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专栏</w:t>
            </w:r>
            <w:r>
              <w:rPr>
                <w:rFonts w:ascii="仿宋_GB2312" w:hAnsi="仿宋_GB2312" w:eastAsia="仿宋_GB2312" w:cs="仿宋_GB2312"/>
                <w:b/>
                <w:bCs/>
                <w:kern w:val="0"/>
                <w:sz w:val="24"/>
                <w:szCs w:val="24"/>
              </w:rPr>
              <w:t xml:space="preserve"> </w:t>
            </w:r>
            <w:r>
              <w:rPr>
                <w:rFonts w:hint="eastAsia" w:ascii="仿宋_GB2312" w:hAnsi="仿宋_GB2312" w:eastAsia="仿宋_GB2312" w:cs="仿宋_GB2312"/>
                <w:b/>
                <w:bCs/>
                <w:kern w:val="0"/>
                <w:sz w:val="24"/>
                <w:szCs w:val="24"/>
              </w:rPr>
              <w:t>生态建设与修复重点项目</w:t>
            </w:r>
          </w:p>
          <w:p w14:paraId="0510ADDF">
            <w:pPr>
              <w:spacing w:line="560" w:lineRule="exact"/>
              <w:ind w:firstLine="482" w:firstLineChars="200"/>
              <w:rPr>
                <w:rFonts w:ascii="仿宋_GB2312" w:hAnsi="仿宋_GB2312" w:eastAsia="仿宋_GB2312" w:cs="仿宋_GB2312"/>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.森林植被恢复费造林工程。</w:t>
            </w:r>
            <w:r>
              <w:rPr>
                <w:rFonts w:hint="eastAsia" w:ascii="仿宋_GB2312" w:hAnsi="仿宋_GB2312" w:eastAsia="仿宋_GB2312" w:cs="仿宋_GB2312"/>
                <w:sz w:val="24"/>
                <w:szCs w:val="24"/>
              </w:rPr>
              <w:t>造林150公顷（其中：防护林50公顷，经果林100公顷）。</w:t>
            </w:r>
          </w:p>
          <w:p w14:paraId="64C0995D">
            <w:pPr>
              <w:spacing w:line="560" w:lineRule="exact"/>
              <w:ind w:firstLine="482" w:firstLineChars="200"/>
              <w:rPr>
                <w:rFonts w:ascii="仿宋_GB2312" w:hAnsi="仿宋_GB2312" w:eastAsia="仿宋_GB2312" w:cs="仿宋_GB2312"/>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.城镇及村寨绿化建设工程。</w:t>
            </w:r>
            <w:r>
              <w:rPr>
                <w:rFonts w:hint="eastAsia" w:ascii="仿宋_GB2312" w:hAnsi="仿宋_GB2312" w:eastAsia="仿宋_GB2312" w:cs="仿宋_GB2312"/>
                <w:kern w:val="0"/>
                <w:sz w:val="24"/>
                <w:szCs w:val="24"/>
              </w:rPr>
              <w:t>造林</w:t>
            </w:r>
            <w:r>
              <w:rPr>
                <w:rFonts w:hint="eastAsia" w:ascii="仿宋_GB2312" w:hAnsi="仿宋_GB2312" w:eastAsia="仿宋_GB2312" w:cs="仿宋_GB2312"/>
                <w:sz w:val="24"/>
                <w:szCs w:val="24"/>
              </w:rPr>
              <w:t>75</w:t>
            </w:r>
            <w:r>
              <w:rPr>
                <w:rFonts w:hint="eastAsia" w:ascii="仿宋_GB2312" w:hAnsi="仿宋_GB2312" w:eastAsia="仿宋_GB2312" w:cs="仿宋_GB2312"/>
                <w:kern w:val="0"/>
                <w:sz w:val="24"/>
                <w:szCs w:val="24"/>
              </w:rPr>
              <w:t>公顷（城镇绿化25公顷、美丽乡村绿化美化</w:t>
            </w:r>
            <w:r>
              <w:rPr>
                <w:rFonts w:hint="eastAsia" w:ascii="仿宋_GB2312" w:hAnsi="仿宋_GB2312" w:eastAsia="仿宋_GB2312" w:cs="仿宋_GB2312"/>
                <w:sz w:val="24"/>
                <w:szCs w:val="24"/>
              </w:rPr>
              <w:t>50</w:t>
            </w:r>
            <w:r>
              <w:rPr>
                <w:rFonts w:hint="eastAsia" w:ascii="仿宋_GB2312" w:hAnsi="仿宋_GB2312" w:eastAsia="仿宋_GB2312" w:cs="仿宋_GB2312"/>
                <w:kern w:val="0"/>
                <w:sz w:val="24"/>
                <w:szCs w:val="24"/>
              </w:rPr>
              <w:t>公顷）。</w:t>
            </w:r>
          </w:p>
          <w:p w14:paraId="7CF84488">
            <w:pPr>
              <w:spacing w:line="560" w:lineRule="exact"/>
              <w:ind w:firstLine="482" w:firstLineChars="200"/>
              <w:rPr>
                <w:rFonts w:ascii="仿宋_GB2312" w:hAnsi="仿宋_GB2312" w:eastAsia="仿宋_GB2312" w:cs="仿宋_GB2312"/>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.水土流失综合治理工程</w:t>
            </w:r>
            <w:r>
              <w:rPr>
                <w:rFonts w:hint="eastAsia" w:ascii="仿宋_GB2312" w:hAnsi="仿宋_GB2312" w:eastAsia="仿宋_GB2312" w:cs="仿宋_GB2312"/>
                <w:kern w:val="0"/>
                <w:sz w:val="24"/>
                <w:szCs w:val="24"/>
              </w:rPr>
              <w:t>。治理水土流失面积60平方公里。</w:t>
            </w:r>
          </w:p>
          <w:p w14:paraId="3623A621">
            <w:pPr>
              <w:spacing w:line="560" w:lineRule="exact"/>
              <w:ind w:firstLine="482" w:firstLineChars="200"/>
              <w:rPr>
                <w:rFonts w:ascii="仿宋_GB2312" w:hAnsi="仿宋_GB2312" w:eastAsia="仿宋_GB2312" w:cs="仿宋_GB2312"/>
                <w:kern w:val="0"/>
                <w:sz w:val="24"/>
                <w:szCs w:val="24"/>
              </w:rPr>
            </w:pP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.废弃矿区治理项目。</w:t>
            </w:r>
            <w:r>
              <w:rPr>
                <w:rFonts w:hint="eastAsia" w:ascii="仿宋_GB2312" w:hAnsi="仿宋_GB2312" w:eastAsia="仿宋_GB2312" w:cs="仿宋_GB2312"/>
                <w:kern w:val="0"/>
                <w:sz w:val="24"/>
                <w:szCs w:val="24"/>
              </w:rPr>
              <w:t>实施矿山生态修复面积</w:t>
            </w:r>
            <w:r>
              <w:rPr>
                <w:rFonts w:hint="eastAsia" w:ascii="仿宋_GB2312" w:hAnsi="仿宋_GB2312" w:eastAsia="仿宋_GB2312" w:cs="仿宋_GB2312"/>
                <w:sz w:val="24"/>
                <w:szCs w:val="24"/>
              </w:rPr>
              <w:t>10</w:t>
            </w:r>
            <w:r>
              <w:rPr>
                <w:rFonts w:hint="eastAsia" w:ascii="仿宋_GB2312" w:hAnsi="仿宋_GB2312" w:eastAsia="仿宋_GB2312" w:cs="仿宋_GB2312"/>
                <w:kern w:val="0"/>
                <w:sz w:val="24"/>
                <w:szCs w:val="24"/>
              </w:rPr>
              <w:t>平方公里。</w:t>
            </w:r>
          </w:p>
          <w:p w14:paraId="17707024">
            <w:pPr>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kern w:val="0"/>
                <w:sz w:val="24"/>
                <w:szCs w:val="24"/>
              </w:rPr>
              <w:t>5.</w:t>
            </w:r>
            <w:r>
              <w:rPr>
                <w:rFonts w:hint="eastAsia" w:ascii="仿宋_GB2312" w:hAnsi="仿宋_GB2312" w:eastAsia="仿宋_GB2312" w:cs="仿宋_GB2312"/>
                <w:sz w:val="24"/>
                <w:szCs w:val="24"/>
              </w:rPr>
              <w:t>完成退耕还林、石漠化综合治理、森林植被恢复、农业产业结构等新造林及中幼林抚育6500公顷。</w:t>
            </w:r>
          </w:p>
          <w:p w14:paraId="3270F608">
            <w:pPr>
              <w:pStyle w:val="10"/>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kern w:val="0"/>
                <w:sz w:val="24"/>
                <w:szCs w:val="24"/>
              </w:rPr>
              <w:t>6.</w:t>
            </w:r>
            <w:r>
              <w:rPr>
                <w:rFonts w:hint="eastAsia" w:ascii="仿宋_GB2312" w:hAnsi="仿宋_GB2312" w:eastAsia="仿宋_GB2312" w:cs="仿宋_GB2312"/>
                <w:sz w:val="24"/>
                <w:szCs w:val="24"/>
              </w:rPr>
              <w:t>完成低质低效林改造1200公顷。</w:t>
            </w:r>
          </w:p>
        </w:tc>
      </w:tr>
    </w:tbl>
    <w:p w14:paraId="1787D08F">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620" w:name="_Toc11793"/>
      <w:bookmarkStart w:id="621" w:name="_Toc61193823"/>
      <w:bookmarkStart w:id="622" w:name="_Toc21728"/>
      <w:bookmarkStart w:id="623" w:name="_Toc11299"/>
      <w:bookmarkStart w:id="624" w:name="_Toc27552"/>
      <w:bookmarkStart w:id="625" w:name="_Toc16427"/>
      <w:bookmarkStart w:id="626" w:name="_Toc22469"/>
      <w:bookmarkStart w:id="627" w:name="_Toc3258"/>
      <w:bookmarkStart w:id="628" w:name="_Toc10791"/>
      <w:bookmarkStart w:id="629" w:name="_Toc28459"/>
      <w:bookmarkStart w:id="630" w:name="_Toc27426"/>
      <w:bookmarkStart w:id="631" w:name="_Toc20570"/>
      <w:bookmarkStart w:id="632" w:name="_Toc29726"/>
      <w:bookmarkStart w:id="633" w:name="_Toc13494"/>
      <w:bookmarkStart w:id="634" w:name="_Toc58580322"/>
      <w:bookmarkStart w:id="635" w:name="_Toc27375"/>
      <w:r>
        <w:rPr>
          <w:rFonts w:hint="eastAsia" w:ascii="方正小标宋简体" w:hAnsi="方正小标宋简体" w:eastAsia="方正小标宋简体" w:cs="方正小标宋简体"/>
          <w:b w:val="0"/>
          <w:bCs w:val="0"/>
          <w:kern w:val="0"/>
        </w:rPr>
        <w:t>第二节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巩固提升生态环境质量</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D5501B2">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深入打好蓝天、碧水、净土、固废治理、乡村环境整治五大战役。</w:t>
      </w:r>
      <w:r>
        <w:rPr>
          <w:rFonts w:hint="eastAsia" w:ascii="仿宋_GB2312" w:hAnsi="仿宋_GB2312" w:eastAsia="仿宋_GB2312" w:cs="仿宋_GB2312"/>
          <w:sz w:val="32"/>
          <w:szCs w:val="32"/>
        </w:rPr>
        <w:t>坚持精准治污、科学治污、依法治污，严控污染物超标、超总量排放，重点控制工业、城乡建设、交通、农业、商业和废弃物处理等重点领域“三废”治理。全面实行排污许可制，推进排污权、用能权、用水权、碳排放权市场化交易。</w:t>
      </w:r>
    </w:p>
    <w:p w14:paraId="6E8D0DED">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打好蓝天保卫战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以保持环境空气质量全面达标、空气质量稳定在全市前列为目标，严格执行大气环境质量红线区、高污染燃料禁燃区、大气污染重点控制区管控要求，推进“废气资源化”“余热资源化”，提高能源使用效率。强化多污染物协同控制和区域协同治理，加强细颗粒物和臭氧协同控制，基本消除重污染天气。强化工业污染监管，实现空气污染精准防控。重点深化建材、化肥、砂石矿山等工业企业污染治理，严格查处违法行为，实现烟粉尘、二氧化硫、氮氧化物、挥发性有机物（</w:t>
      </w:r>
      <w:r>
        <w:rPr>
          <w:rFonts w:ascii="仿宋_GB2312" w:hAnsi="仿宋_GB2312" w:eastAsia="仿宋_GB2312" w:cs="仿宋_GB2312"/>
          <w:sz w:val="32"/>
          <w:szCs w:val="32"/>
        </w:rPr>
        <w:t>VOCs）等大气污染物全面稳定达标排放。完善环境空气质量监管机制，实现污染天气科学调控。实施清洁能源改造、挥发性有机物综合整治、餐饮业油烟污染防治，发展</w:t>
      </w:r>
      <w:r>
        <w:rPr>
          <w:rFonts w:hint="eastAsia" w:ascii="仿宋_GB2312" w:hAnsi="仿宋_GB2312" w:eastAsia="仿宋_GB2312" w:cs="仿宋_GB2312"/>
          <w:sz w:val="32"/>
          <w:szCs w:val="32"/>
        </w:rPr>
        <w:t>清洁能源、绿色交通，持续改善环境空气质量。到</w:t>
      </w:r>
      <w:r>
        <w:rPr>
          <w:rFonts w:ascii="仿宋_GB2312" w:hAnsi="仿宋_GB2312" w:eastAsia="仿宋_GB2312" w:cs="仿宋_GB2312"/>
          <w:sz w:val="32"/>
          <w:szCs w:val="32"/>
        </w:rPr>
        <w:t>2025年底，建成区绿化覆盖率达60%以上，建成区人均公园绿地面积达20平方米以上，SO2、NO2、PM10三项指标继续保持好于《环境空气质量标准》（GB3095-2012）二级标准，</w:t>
      </w:r>
      <w:r>
        <w:rPr>
          <w:rFonts w:hint="eastAsia" w:ascii="仿宋_GB2312" w:hAnsi="仿宋_GB2312" w:eastAsia="仿宋_GB2312" w:cs="仿宋_GB2312"/>
          <w:color w:val="000000"/>
          <w:sz w:val="32"/>
          <w:szCs w:val="32"/>
        </w:rPr>
        <w:t>PM2.5年均浓度控制在每立方米35微克以内</w:t>
      </w:r>
      <w:r>
        <w:rPr>
          <w:rFonts w:ascii="仿宋_GB2312" w:hAnsi="仿宋_GB2312" w:eastAsia="仿宋_GB2312" w:cs="仿宋_GB2312"/>
          <w:sz w:val="32"/>
          <w:szCs w:val="32"/>
        </w:rPr>
        <w:t>，县城环境空气质量优良率保持在9</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%以上。</w:t>
      </w:r>
    </w:p>
    <w:p w14:paraId="065743D3">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打好碧水保卫战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以改善水环境质量为目标，坚持“管住源水、护好绿水、治理污水、节约用水”理念，实现饮用水源地及其支流水质全面稳定达标，县域跨界出境断面、国控和省控断面水质全面达到规定功能区水质类别。夯实基础护水源，完善水源保护区基础设施，严控涉水排放企业监管和农业面源水污染。</w:t>
      </w:r>
      <w:r>
        <w:rPr>
          <w:rFonts w:ascii="仿宋_GB2312" w:hAnsi="仿宋_GB2312" w:eastAsia="仿宋_GB2312" w:cs="仿宋_GB2312"/>
          <w:sz w:val="32"/>
          <w:szCs w:val="32"/>
        </w:rPr>
        <w:t>从严管控治污水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实施水环境综合治理，强化水污染管控。</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完成全县集中式饮用水水源地支流流域范围村寨污水收集处理和生态治理工程，确保集中式饮用水源水质达标率保持100%。</w:t>
      </w:r>
      <w:r>
        <w:rPr>
          <w:rFonts w:hint="eastAsia" w:ascii="仿宋_GB2312" w:hAnsi="仿宋_GB2312" w:eastAsia="仿宋_GB2312" w:cs="仿宋_GB2312"/>
          <w:sz w:val="32"/>
          <w:szCs w:val="32"/>
        </w:rPr>
        <w:t>加强城乡生活环境治理，推进城镇污水管网全覆盖，加大对老城区污水管网改造提升力度，基本消除城市黑臭水体。</w:t>
      </w:r>
      <w:r>
        <w:rPr>
          <w:rFonts w:ascii="仿宋_GB2312" w:hAnsi="仿宋_GB2312" w:eastAsia="仿宋_GB2312" w:cs="仿宋_GB2312"/>
          <w:sz w:val="32"/>
          <w:szCs w:val="32"/>
        </w:rPr>
        <w:t>推进生活</w:t>
      </w:r>
      <w:r>
        <w:rPr>
          <w:rFonts w:hint="eastAsia" w:ascii="仿宋_GB2312" w:hAnsi="仿宋_GB2312" w:eastAsia="仿宋_GB2312" w:cs="仿宋_GB2312"/>
          <w:sz w:val="32"/>
          <w:szCs w:val="32"/>
        </w:rPr>
        <w:t>、生产</w:t>
      </w:r>
      <w:r>
        <w:rPr>
          <w:rFonts w:ascii="仿宋_GB2312" w:hAnsi="仿宋_GB2312" w:eastAsia="仿宋_GB2312" w:cs="仿宋_GB2312"/>
          <w:sz w:val="32"/>
          <w:szCs w:val="32"/>
        </w:rPr>
        <w:t>污水处理设施建设</w:t>
      </w:r>
      <w:r>
        <w:rPr>
          <w:rFonts w:hint="eastAsia" w:ascii="仿宋_GB2312" w:hAnsi="仿宋_GB2312" w:eastAsia="仿宋_GB2312" w:cs="仿宋_GB2312"/>
          <w:sz w:val="32"/>
          <w:szCs w:val="32"/>
        </w:rPr>
        <w:t>和运行维护管控，加强污水处理污泥全过程监管和污泥无害化处置力度，</w:t>
      </w:r>
      <w:r>
        <w:rPr>
          <w:rFonts w:ascii="仿宋_GB2312" w:hAnsi="仿宋_GB2312" w:eastAsia="仿宋_GB2312" w:cs="仿宋_GB2312"/>
          <w:sz w:val="32"/>
          <w:szCs w:val="32"/>
        </w:rPr>
        <w:t>处置率达到90%以上</w:t>
      </w:r>
      <w:r>
        <w:rPr>
          <w:rFonts w:hint="eastAsia" w:ascii="仿宋_GB2312" w:hAnsi="仿宋_GB2312" w:eastAsia="仿宋_GB2312" w:cs="仿宋_GB2312"/>
          <w:sz w:val="32"/>
          <w:szCs w:val="32"/>
        </w:rPr>
        <w:t>。启动县城污水处理三期和经开区专有污水处理厂及排水管网建设，实施城区道路排水系统雨污分流改造。</w:t>
      </w:r>
      <w:r>
        <w:rPr>
          <w:rFonts w:ascii="仿宋_GB2312" w:hAnsi="仿宋_GB2312" w:eastAsia="仿宋_GB2312" w:cs="仿宋_GB2312"/>
          <w:sz w:val="32"/>
          <w:szCs w:val="32"/>
        </w:rPr>
        <w:t>完成现有设施达标改造</w:t>
      </w:r>
      <w:r>
        <w:rPr>
          <w:rFonts w:hint="eastAsia" w:ascii="仿宋_GB2312" w:hAnsi="仿宋_GB2312" w:eastAsia="仿宋_GB2312" w:cs="仿宋_GB2312"/>
          <w:sz w:val="32"/>
          <w:szCs w:val="32"/>
        </w:rPr>
        <w:t>工程</w:t>
      </w:r>
      <w:r>
        <w:rPr>
          <w:rFonts w:ascii="仿宋_GB2312" w:hAnsi="仿宋_GB2312" w:eastAsia="仿宋_GB2312" w:cs="仿宋_GB2312"/>
          <w:sz w:val="32"/>
          <w:szCs w:val="32"/>
        </w:rPr>
        <w:t>，城镇污水处理率达到95%以上</w:t>
      </w:r>
      <w:r>
        <w:rPr>
          <w:rFonts w:hint="eastAsia" w:ascii="仿宋_GB2312" w:hAnsi="仿宋_GB2312" w:eastAsia="仿宋_GB2312" w:cs="仿宋_GB2312"/>
          <w:sz w:val="32"/>
          <w:szCs w:val="32"/>
        </w:rPr>
        <w:t>，努力实现工业废水全回用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坚定信心护绿水，</w:t>
      </w:r>
      <w:r>
        <w:rPr>
          <w:rFonts w:ascii="仿宋_GB2312" w:hAnsi="仿宋_GB2312" w:eastAsia="仿宋_GB2312" w:cs="仿宋_GB2312"/>
          <w:sz w:val="32"/>
          <w:szCs w:val="32"/>
        </w:rPr>
        <w:t>协同控制地表水、地下水污染，强化矿山开采区、磷煤化工园区、危险废物堆场、工业固废堆场、垃圾填埋场等区域地面防渗，稳步开展乌江34</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泉地下水污染修复示范工程。持续开展河长制工作，定期开展巡河找问题，推进水污染防治专项</w:t>
      </w:r>
      <w:r>
        <w:rPr>
          <w:rFonts w:hint="eastAsia" w:ascii="仿宋_GB2312" w:hAnsi="仿宋_GB2312" w:eastAsia="仿宋_GB2312" w:cs="仿宋_GB2312"/>
          <w:sz w:val="32"/>
          <w:szCs w:val="32"/>
        </w:rPr>
        <w:t>执法行动，强化水质监测预警。</w:t>
      </w:r>
    </w:p>
    <w:p w14:paraId="18D78853">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打好净土保卫战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以改善土壤环境质量为目标，扎实推进土壤污染防治，做好土壤污染调查，强化土壤污染防治监管。实现污染地块空间信息在国土空间规划“一张图”管理，确保污染地块安全利用率达到</w:t>
      </w:r>
      <w:r>
        <w:rPr>
          <w:rFonts w:ascii="仿宋_GB2312" w:hAnsi="仿宋_GB2312" w:eastAsia="仿宋_GB2312" w:cs="仿宋_GB2312"/>
          <w:sz w:val="32"/>
          <w:szCs w:val="32"/>
        </w:rPr>
        <w:t>100%。加强土壤污染源头控制，</w:t>
      </w:r>
      <w:r>
        <w:rPr>
          <w:rFonts w:hint="eastAsia" w:ascii="仿宋_GB2312" w:hAnsi="仿宋_GB2312" w:eastAsia="仿宋_GB2312" w:cs="仿宋_GB2312"/>
          <w:sz w:val="32"/>
          <w:szCs w:val="32"/>
        </w:rPr>
        <w:t>推进化肥农药减量化，加强危险废物医疗废物收集处理和重点地区危险化学品生产企业搬迁改造，重视新污染物治理，</w:t>
      </w:r>
      <w:r>
        <w:rPr>
          <w:rFonts w:ascii="仿宋_GB2312" w:hAnsi="仿宋_GB2312" w:eastAsia="仿宋_GB2312" w:cs="仿宋_GB2312"/>
          <w:sz w:val="32"/>
          <w:szCs w:val="32"/>
        </w:rPr>
        <w:t>逐步提升土壤环境质量。</w:t>
      </w:r>
      <w:r>
        <w:rPr>
          <w:rFonts w:hint="eastAsia" w:ascii="仿宋_GB2312" w:hAnsi="仿宋_GB2312" w:eastAsia="仿宋_GB2312" w:cs="仿宋_GB2312"/>
          <w:sz w:val="32"/>
          <w:szCs w:val="32"/>
        </w:rPr>
        <w:t>强化责任监管，从企业污染防治情况、监测数据、执法闭环监管、信息公开等方面落实法律责任和义务，依法监督管理。</w:t>
      </w:r>
      <w:r>
        <w:rPr>
          <w:rFonts w:ascii="仿宋_GB2312" w:hAnsi="仿宋_GB2312" w:eastAsia="仿宋_GB2312" w:cs="仿宋_GB2312"/>
          <w:sz w:val="32"/>
          <w:szCs w:val="32"/>
        </w:rPr>
        <w:t>开展涉重金属行业污染排查治理、工业固体废物规范化处置和渣场集中整治、建设剥离表土处置、矿产资源开发土壤污染防治、建立建筑垃圾资源化利用、医疗废物集中处</w:t>
      </w:r>
      <w:r>
        <w:rPr>
          <w:rFonts w:hint="eastAsia" w:ascii="仿宋_GB2312" w:hAnsi="仿宋_GB2312" w:eastAsia="仿宋_GB2312" w:cs="仿宋_GB2312"/>
          <w:sz w:val="32"/>
          <w:szCs w:val="32"/>
        </w:rPr>
        <w:t>置、农业面源土壤污染防治、生活垃圾收运及处置监管。大力实施重点工程，提升土壤污染防治能力。加强土壤专项资金项目管理，实施石化、煤炭、化工、医药、铅蓄电池等行业企业和非正规垃圾填埋场等重点污染源排查与综合整治，推进土壤污染整治修复等。持续完善城镇生活垃圾处置设施和农村生活垃圾收运系统建设，垃圾填埋厂封场修复，工业固体废弃物、畜禽固体废物综合利用等工程。坚持“废渣资源化”，推进磷石膏堆场源头治理、磷石膏“以渣定产”综合利用。到</w:t>
      </w:r>
      <w:r>
        <w:rPr>
          <w:rFonts w:ascii="仿宋_GB2312" w:hAnsi="仿宋_GB2312" w:eastAsia="仿宋_GB2312" w:cs="仿宋_GB2312"/>
          <w:sz w:val="32"/>
          <w:szCs w:val="32"/>
        </w:rPr>
        <w:t>2025年底，力争实现全县100%的村庄生活垃圾集中收运处置，工业固体废物综合利用处置率</w:t>
      </w:r>
      <w:r>
        <w:rPr>
          <w:rFonts w:hint="eastAsia" w:ascii="仿宋_GB2312" w:hAnsi="仿宋_GB2312" w:eastAsia="仿宋_GB2312" w:cs="仿宋_GB2312"/>
          <w:sz w:val="32"/>
          <w:szCs w:val="32"/>
        </w:rPr>
        <w:t>达</w:t>
      </w:r>
      <w:r>
        <w:rPr>
          <w:rFonts w:ascii="仿宋_GB2312" w:hAnsi="仿宋_GB2312" w:eastAsia="仿宋_GB2312" w:cs="仿宋_GB2312"/>
          <w:sz w:val="32"/>
          <w:szCs w:val="32"/>
        </w:rPr>
        <w:t>98%。</w:t>
      </w:r>
    </w:p>
    <w:p w14:paraId="15D06A37">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636" w:name="_Toc5073"/>
      <w:bookmarkStart w:id="637" w:name="_Toc61193824"/>
      <w:bookmarkStart w:id="638" w:name="_Toc9422"/>
      <w:bookmarkStart w:id="639" w:name="_Toc21119"/>
      <w:bookmarkStart w:id="640" w:name="_Toc31363"/>
      <w:bookmarkStart w:id="641" w:name="_Toc14330"/>
      <w:bookmarkStart w:id="642" w:name="_Toc13613"/>
      <w:bookmarkStart w:id="643" w:name="_Toc25330"/>
      <w:bookmarkStart w:id="644" w:name="_Toc22329"/>
      <w:bookmarkStart w:id="645" w:name="_Toc9966"/>
      <w:bookmarkStart w:id="646" w:name="_Toc15643"/>
      <w:bookmarkStart w:id="647" w:name="_Toc28454"/>
      <w:bookmarkStart w:id="648" w:name="_Toc5697"/>
      <w:bookmarkStart w:id="649" w:name="_Toc2562"/>
      <w:bookmarkStart w:id="650" w:name="_Toc3007"/>
      <w:bookmarkStart w:id="651" w:name="_Toc58580323"/>
      <w:r>
        <w:rPr>
          <w:rFonts w:hint="eastAsia" w:ascii="方正小标宋简体" w:hAnsi="方正小标宋简体" w:eastAsia="方正小标宋简体" w:cs="方正小标宋简体"/>
          <w:b w:val="0"/>
          <w:bCs w:val="0"/>
          <w:kern w:val="0"/>
        </w:rPr>
        <w:t>第三节  发展绿色低碳循环经济</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2AB4ADC8">
      <w:pPr>
        <w:tabs>
          <w:tab w:val="center" w:pos="4153"/>
          <w:tab w:val="right" w:pos="8306"/>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大力发展循环经济，着力构建绿色低碳循环发展的产业体系。加强生产、流通、消费全过程资源节约，推动形成绿色发展方式和生活方式。</w:t>
      </w:r>
    </w:p>
    <w:p w14:paraId="403C5CFF">
      <w:pPr>
        <w:tabs>
          <w:tab w:val="center" w:pos="4153"/>
          <w:tab w:val="right" w:pos="8306"/>
        </w:tabs>
        <w:snapToGrid w:val="0"/>
        <w:spacing w:line="520" w:lineRule="exact"/>
        <w:ind w:firstLine="643" w:firstLineChars="200"/>
        <w:rPr>
          <w:rFonts w:ascii="黑体" w:hAnsi="黑体" w:eastAsia="黑体" w:cs="仿宋_GB2312"/>
          <w:b/>
          <w:bCs/>
          <w:sz w:val="32"/>
          <w:szCs w:val="32"/>
        </w:rPr>
      </w:pPr>
      <w:r>
        <w:rPr>
          <w:rFonts w:hint="eastAsia" w:ascii="黑体" w:hAnsi="黑体" w:eastAsia="黑体"/>
          <w:b/>
          <w:bCs/>
          <w:sz w:val="32"/>
          <w:szCs w:val="32"/>
        </w:rPr>
        <w:t>大力发展生态经济。</w:t>
      </w: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造林绿化工程要打基础利长远，加快实施林业倍增计划，推进重点林业工程建设，培育发展特色种植、养殖等各种类型的林</w:t>
      </w:r>
      <w:r>
        <w:rPr>
          <w:rFonts w:hint="eastAsia" w:ascii="仿宋_GB2312" w:hAnsi="仿宋_GB2312" w:eastAsia="仿宋_GB2312" w:cs="仿宋_GB2312"/>
          <w:sz w:val="32"/>
          <w:szCs w:val="32"/>
        </w:rPr>
        <w:t>业经济、林</w:t>
      </w:r>
      <w:r>
        <w:rPr>
          <w:rFonts w:ascii="仿宋_GB2312" w:hAnsi="仿宋_GB2312" w:eastAsia="仿宋_GB2312" w:cs="仿宋_GB2312"/>
          <w:sz w:val="32"/>
          <w:szCs w:val="32"/>
        </w:rPr>
        <w:t>下经济，切实</w:t>
      </w:r>
      <w:r>
        <w:rPr>
          <w:rFonts w:hint="eastAsia" w:ascii="仿宋_GB2312" w:hAnsi="仿宋_GB2312" w:eastAsia="仿宋_GB2312" w:cs="仿宋_GB2312"/>
          <w:sz w:val="32"/>
          <w:szCs w:val="32"/>
        </w:rPr>
        <w:t>打通</w:t>
      </w:r>
      <w:r>
        <w:rPr>
          <w:rFonts w:ascii="仿宋_GB2312" w:hAnsi="仿宋_GB2312" w:eastAsia="仿宋_GB2312" w:cs="仿宋_GB2312"/>
          <w:sz w:val="32"/>
          <w:szCs w:val="32"/>
        </w:rPr>
        <w:t>“绿水青山”向“金山银山”的转化通道。</w:t>
      </w:r>
      <w:r>
        <w:rPr>
          <w:rFonts w:hint="eastAsia" w:ascii="仿宋_GB2312" w:hAnsi="仿宋_GB2312" w:eastAsia="仿宋_GB2312" w:cs="仿宋_GB2312"/>
          <w:sz w:val="32"/>
          <w:szCs w:val="32"/>
        </w:rPr>
        <w:t>到2025年，林下经济利用森林面积达2万亩，产业基地建设5万亩以上，森林旅游和森林康养利用森林面积达2万亩。力争实现5.4亿元的林产品采集产值、1亿元的林产品加工产值。</w:t>
      </w:r>
      <w:r>
        <w:rPr>
          <w:rFonts w:ascii="仿宋_GB2312" w:hAnsi="仿宋_GB2312" w:eastAsia="仿宋_GB2312" w:cs="仿宋_GB2312"/>
          <w:sz w:val="32"/>
          <w:szCs w:val="32"/>
        </w:rPr>
        <w:t>充分发挥</w:t>
      </w:r>
      <w:r>
        <w:rPr>
          <w:rFonts w:hint="eastAsia" w:ascii="仿宋_GB2312" w:hAnsi="仿宋_GB2312" w:eastAsia="仿宋_GB2312" w:cs="仿宋_GB2312"/>
          <w:sz w:val="32"/>
          <w:szCs w:val="32"/>
        </w:rPr>
        <w:t>温泉</w:t>
      </w:r>
      <w:r>
        <w:rPr>
          <w:rFonts w:ascii="仿宋_GB2312" w:hAnsi="仿宋_GB2312" w:eastAsia="仿宋_GB2312" w:cs="仿宋_GB2312"/>
          <w:sz w:val="32"/>
          <w:szCs w:val="32"/>
        </w:rPr>
        <w:t>水资源品质优势，大力发展生态饮用水和饮品制造业，努力提升生态渔业对农业经济的贡献率，推进水产养殖基地工程建设，发展山塘生态养鱼。大力发展绿色制造业，在重点区域、重点行业、重点企业推行清洁生产，推进先进制造业和战略性新兴产</w:t>
      </w:r>
      <w:r>
        <w:rPr>
          <w:rFonts w:hint="eastAsia" w:ascii="仿宋_GB2312" w:hAnsi="仿宋_GB2312" w:eastAsia="仿宋_GB2312" w:cs="仿宋_GB2312"/>
          <w:sz w:val="32"/>
          <w:szCs w:val="32"/>
        </w:rPr>
        <w:t>业发展。加快风能、太阳能、天然气、生物质能等新能源和可再生能源发展。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4"/>
      </w:tblGrid>
      <w:tr w14:paraId="357A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314" w:type="dxa"/>
            <w:noWrap w:val="0"/>
            <w:vAlign w:val="top"/>
          </w:tcPr>
          <w:p w14:paraId="46526B13">
            <w:pPr>
              <w:spacing w:line="560" w:lineRule="exact"/>
              <w:ind w:firstLine="482" w:firstLineChars="2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专栏：生态经济重点工程</w:t>
            </w:r>
          </w:p>
          <w:p w14:paraId="3A6EC386">
            <w:pPr>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森林生态产品基地建设工程：</w:t>
            </w:r>
            <w:r>
              <w:rPr>
                <w:rFonts w:hint="eastAsia" w:ascii="仿宋_GB2312" w:hAnsi="仿宋_GB2312" w:eastAsia="仿宋_GB2312" w:cs="仿宋_GB2312"/>
                <w:sz w:val="24"/>
                <w:szCs w:val="24"/>
              </w:rPr>
              <w:t>完成经济林种植10万亩，林下特色种植业1万亩，林下特色养殖业5万头（只）。</w:t>
            </w:r>
          </w:p>
          <w:p w14:paraId="34F38F73">
            <w:pPr>
              <w:spacing w:line="56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bCs/>
                <w:sz w:val="24"/>
                <w:szCs w:val="24"/>
              </w:rPr>
              <w:t>生态饮用水和饮品制造业：</w:t>
            </w:r>
            <w:r>
              <w:rPr>
                <w:rFonts w:hint="eastAsia" w:ascii="仿宋_GB2312" w:hAnsi="仿宋_GB2312" w:eastAsia="仿宋_GB2312" w:cs="仿宋_GB2312"/>
                <w:sz w:val="24"/>
                <w:szCs w:val="24"/>
              </w:rPr>
              <w:t>发展矿泉水、功能性饮料等生态饮用水和葡萄、刺梨、猕猴桃饮品制造业。</w:t>
            </w:r>
          </w:p>
          <w:p w14:paraId="6BBE17E6">
            <w:pPr>
              <w:spacing w:line="560" w:lineRule="exact"/>
              <w:ind w:firstLine="482" w:firstLineChars="200"/>
              <w:rPr>
                <w:rFonts w:ascii="仿宋_GB2312" w:hAnsi="仿宋_GB2312" w:eastAsia="仿宋_GB2312" w:cs="仿宋_GB2312"/>
                <w:kern w:val="0"/>
                <w:sz w:val="28"/>
                <w:szCs w:val="28"/>
              </w:rPr>
            </w:pPr>
            <w:r>
              <w:rPr>
                <w:rFonts w:hint="eastAsia" w:ascii="仿宋_GB2312" w:hAnsi="仿宋_GB2312" w:eastAsia="仿宋_GB2312" w:cs="仿宋_GB2312"/>
                <w:b/>
                <w:bCs/>
                <w:sz w:val="24"/>
                <w:szCs w:val="24"/>
              </w:rPr>
              <w:t>水生态旅游：</w:t>
            </w:r>
            <w:r>
              <w:rPr>
                <w:rFonts w:hint="eastAsia" w:ascii="仿宋_GB2312" w:hAnsi="仿宋_GB2312" w:eastAsia="仿宋_GB2312" w:cs="仿宋_GB2312"/>
                <w:sz w:val="24"/>
                <w:szCs w:val="24"/>
              </w:rPr>
              <w:t>发展江河观光、水上娱乐、水上运动、水上体验等水生态旅游产品。</w:t>
            </w:r>
          </w:p>
        </w:tc>
      </w:tr>
    </w:tbl>
    <w:p w14:paraId="0DC28FC5">
      <w:pPr>
        <w:widowControl/>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推动绿色循环发展。</w:t>
      </w:r>
      <w:r>
        <w:rPr>
          <w:rFonts w:hint="eastAsia" w:ascii="仿宋_GB2312" w:hAnsi="仿宋_GB2312" w:eastAsia="仿宋_GB2312" w:cs="仿宋_GB2312"/>
          <w:sz w:val="32"/>
          <w:szCs w:val="32"/>
        </w:rPr>
        <w:t>按照“减量化、再利用、资源化”原则，大力实施循环发展引领计划，推进生产、流通、消费各环节循环发展。建立再生资源回收体系，引导县内重点工业企业强化硫酸蒸汽等余热回收，合成氨等工业废气综合利用，完成清洁生产改造，实现磷肥生产中水回用，废渣减量和资源化。推进建筑废弃物、生活垃圾和餐厨垃圾资源化利用，探索开展生活垃圾分类处理。实施再生资源回收体系试点工程，规范建设城镇社区和乡村回收站点、分拣中心、集散市场三位一体的回收网络体系。推广节约型农业技术，推进农业清洁生产，实施农业废弃物资源化利用工程，支持规模化养殖场（区）开展畜禽粪便综合利用，推进农村沼气工程转型升级，开展规模化生物天然气生产试点。支持秸秆收集机械还田、青黄储饲料化、微生物腐化和固化碳化等新技术示范，推进秸秆收储运体系建设。到</w:t>
      </w:r>
      <w:r>
        <w:rPr>
          <w:rFonts w:ascii="仿宋_GB2312" w:hAnsi="仿宋_GB2312" w:eastAsia="仿宋_GB2312" w:cs="仿宋_GB2312"/>
          <w:sz w:val="32"/>
          <w:szCs w:val="32"/>
        </w:rPr>
        <w:t>2025年，实现主要再生资源回收利用率90%以上。</w:t>
      </w:r>
    </w:p>
    <w:p w14:paraId="56867268">
      <w:pPr>
        <w:widowControl/>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节约高效利用资源。</w:t>
      </w:r>
      <w:r>
        <w:rPr>
          <w:rFonts w:hint="eastAsia" w:ascii="仿宋_GB2312" w:hAnsi="仿宋_GB2312" w:eastAsia="仿宋_GB2312" w:cs="仿宋_GB2312"/>
          <w:sz w:val="32"/>
          <w:szCs w:val="32"/>
        </w:rPr>
        <w:t>强力推动重点领域、重点行业、重点用能单位节能降耗，严格规范能源消费，确保万元生产总值能耗、二氧化碳排放等比重达到省、市下达目标。支持节能科技创新，大力实施节能改造工程。推进能源消费量达500吨标煤、电力消耗200万千瓦或建筑面积1万平方米以上的公共机构或集中办公区能源审计。实施绿色建筑行动，推动公共建筑节能改造和运行管理，推广节水器具使用。大力发展城乡公共交通，合理增设公交线路，推动绿色低碳出行。大力实施节水工程，发展高效节水灌溉和旱作节水农业，加快城镇供水管网改造，推进高用水行业节水技改，促进城市污水循环利用。推动涉水产业绿色转型与发展，对工业生产、城市绿化、车辆清洗、生态景观等优先使用再生水，提高城市污水处理回用比例。到</w:t>
      </w:r>
      <w:r>
        <w:rPr>
          <w:rFonts w:ascii="仿宋_GB2312" w:hAnsi="仿宋_GB2312" w:eastAsia="仿宋_GB2312" w:cs="仿宋_GB2312"/>
          <w:sz w:val="32"/>
          <w:szCs w:val="32"/>
        </w:rPr>
        <w:t>2025年，实现污水回用率达到20%以上。强化土地利用管理，优先保障重大基础设施项目、民生事业工程和高产出项目用地。推进城镇低效用地再开发和工矿废弃地复垦，严格控制农村集体建设用地规模</w:t>
      </w:r>
      <w:r>
        <w:rPr>
          <w:rFonts w:hint="eastAsia" w:ascii="仿宋_GB2312" w:hAnsi="仿宋_GB2312" w:eastAsia="仿宋_GB2312" w:cs="仿宋_GB2312"/>
          <w:sz w:val="32"/>
          <w:szCs w:val="32"/>
        </w:rPr>
        <w:t>。</w:t>
      </w:r>
    </w:p>
    <w:p w14:paraId="5D736E0A">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652" w:name="_Toc30284"/>
      <w:bookmarkStart w:id="653" w:name="_Toc21603"/>
      <w:bookmarkStart w:id="654" w:name="_Toc17147"/>
      <w:bookmarkStart w:id="655" w:name="_Toc58580324"/>
      <w:bookmarkStart w:id="656" w:name="_Toc23970"/>
      <w:bookmarkStart w:id="657" w:name="_Toc15567"/>
      <w:bookmarkStart w:id="658" w:name="_Toc2447"/>
      <w:bookmarkStart w:id="659" w:name="_Toc1959"/>
      <w:bookmarkStart w:id="660" w:name="_Toc11596"/>
      <w:bookmarkStart w:id="661" w:name="_Toc3091"/>
      <w:bookmarkStart w:id="662" w:name="_Toc29450"/>
      <w:bookmarkStart w:id="663" w:name="_Toc61193825"/>
      <w:bookmarkStart w:id="664" w:name="_Toc27617"/>
      <w:bookmarkStart w:id="665" w:name="_Toc23865"/>
      <w:bookmarkStart w:id="666" w:name="_Toc25959"/>
      <w:bookmarkStart w:id="667" w:name="_Toc29284"/>
      <w:r>
        <w:rPr>
          <w:rFonts w:hint="eastAsia" w:ascii="方正小标宋简体" w:hAnsi="方正小标宋简体" w:eastAsia="方正小标宋简体" w:cs="方正小标宋简体"/>
          <w:b w:val="0"/>
          <w:bCs w:val="0"/>
          <w:kern w:val="0"/>
        </w:rPr>
        <w:t xml:space="preserve">第四节 </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完善生态环境保护体制机制</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1539227A">
      <w:pPr>
        <w:spacing w:line="560" w:lineRule="exact"/>
        <w:ind w:firstLine="640" w:firstLineChars="200"/>
        <w:rPr>
          <w:rFonts w:ascii="Calibri" w:hAnsi="Calibri" w:eastAsia="宋体" w:cs="Times New Roman"/>
          <w:kern w:val="0"/>
          <w:sz w:val="20"/>
          <w:szCs w:val="20"/>
        </w:rPr>
      </w:pPr>
      <w:r>
        <w:rPr>
          <w:rFonts w:hint="eastAsia" w:ascii="Times New Roman" w:hAnsi="Times New Roman" w:eastAsia="仿宋_GB2312" w:cs="Times New Roman"/>
          <w:sz w:val="32"/>
          <w:szCs w:val="32"/>
        </w:rPr>
        <w:t>健全生态环境保护责任体系，实施地上地下、陆水统筹的生态环境治理行动，加快推进生态环境治理体系和治理能力现代化。落实最严格的生态环境保护制度，</w:t>
      </w:r>
      <w:r>
        <w:rPr>
          <w:rFonts w:hint="eastAsia" w:ascii="Times New Roman" w:hAnsi="Times New Roman" w:eastAsia="仿宋_GB2312" w:cs="Times New Roman"/>
          <w:color w:val="000000"/>
          <w:sz w:val="32"/>
          <w:szCs w:val="32"/>
        </w:rPr>
        <w:t>加大生态保护红线、环境质量底线、资源利用上线和生态环境准入清单“三线一单”生态环境分区管控。</w:t>
      </w:r>
      <w:r>
        <w:rPr>
          <w:rFonts w:hint="eastAsia" w:ascii="仿宋_GB2312" w:hAnsi="仿宋_GB2312" w:eastAsia="仿宋_GB2312" w:cs="仿宋_GB2312"/>
          <w:sz w:val="32"/>
          <w:szCs w:val="32"/>
        </w:rPr>
        <w:t>紧盯</w:t>
      </w:r>
      <w:r>
        <w:rPr>
          <w:rFonts w:hint="eastAsia" w:ascii="仿宋_GB2312" w:hAnsi="仿宋_GB2312" w:eastAsia="仿宋_GB2312" w:cs="仿宋_GB2312"/>
          <w:sz w:val="32"/>
          <w:szCs w:val="32"/>
          <w:lang w:eastAsia="zh-CN"/>
        </w:rPr>
        <w:t>中央生态环境保护督察</w:t>
      </w:r>
      <w:r>
        <w:rPr>
          <w:rFonts w:hint="eastAsia" w:ascii="仿宋_GB2312" w:hAnsi="仿宋_GB2312" w:eastAsia="仿宋_GB2312" w:cs="仿宋_GB2312"/>
          <w:sz w:val="32"/>
          <w:szCs w:val="32"/>
        </w:rPr>
        <w:t>反馈和长江经济带突出问题，采取强有力的细化落实措施，</w:t>
      </w:r>
      <w:r>
        <w:rPr>
          <w:rFonts w:hint="eastAsia" w:ascii="Times New Roman" w:hAnsi="Times New Roman" w:eastAsia="仿宋_GB2312" w:cs="Times New Roman"/>
          <w:sz w:val="32"/>
          <w:szCs w:val="32"/>
        </w:rPr>
        <w:t>坚决落实</w:t>
      </w:r>
      <w:r>
        <w:rPr>
          <w:rStyle w:val="25"/>
          <w:rFonts w:ascii="Times New Roman" w:hAnsi="Times New Roman" w:cs="Times New Roman"/>
          <w:kern w:val="2"/>
          <w:sz w:val="32"/>
          <w:szCs w:val="32"/>
          <w:lang w:eastAsia="zh-CN"/>
        </w:rPr>
        <w:t>乌江流域</w:t>
      </w:r>
      <w:r>
        <w:rPr>
          <w:rStyle w:val="25"/>
          <w:rFonts w:hint="eastAsia" w:ascii="Times New Roman" w:hAnsi="Times New Roman" w:cs="Times New Roman"/>
          <w:kern w:val="2"/>
          <w:sz w:val="32"/>
          <w:szCs w:val="32"/>
          <w:lang w:eastAsia="zh-CN"/>
        </w:rPr>
        <w:t>（息烽水域）“</w:t>
      </w:r>
      <w:r>
        <w:rPr>
          <w:rStyle w:val="25"/>
          <w:rFonts w:ascii="Times New Roman" w:hAnsi="Times New Roman" w:cs="Times New Roman"/>
          <w:kern w:val="2"/>
          <w:sz w:val="32"/>
          <w:szCs w:val="32"/>
          <w:lang w:eastAsia="zh-CN"/>
        </w:rPr>
        <w:t>十年禁</w:t>
      </w:r>
      <w:r>
        <w:rPr>
          <w:rStyle w:val="25"/>
          <w:rFonts w:hint="eastAsia" w:ascii="Times New Roman" w:hAnsi="Times New Roman" w:cs="Times New Roman"/>
          <w:kern w:val="2"/>
          <w:sz w:val="32"/>
          <w:szCs w:val="32"/>
          <w:lang w:eastAsia="zh-CN"/>
        </w:rPr>
        <w:t>渔”任务，</w:t>
      </w:r>
      <w:r>
        <w:rPr>
          <w:rFonts w:ascii="仿宋_GB2312" w:hAnsi="仿宋_GB2312" w:eastAsia="仿宋_GB2312" w:cs="仿宋_GB2312"/>
          <w:sz w:val="32"/>
          <w:szCs w:val="32"/>
        </w:rPr>
        <w:t>巩固乌江库区息烽流域网箱治理成效</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完善生态环境治理体系，加强乌江流域（息烽水域）生态保护治理。探索生态文明体制机制新模式，建设绿色发展示范区。</w:t>
      </w:r>
      <w:r>
        <w:rPr>
          <w:rFonts w:ascii="仿宋_GB2312" w:hAnsi="仿宋_GB2312" w:eastAsia="仿宋_GB2312" w:cs="仿宋_GB2312"/>
          <w:b/>
          <w:bCs/>
          <w:kern w:val="0"/>
          <w:sz w:val="32"/>
          <w:szCs w:val="32"/>
        </w:rPr>
        <w:t>完善生态环境监测网络和监管平台</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建立健全</w:t>
      </w:r>
      <w:r>
        <w:rPr>
          <w:rFonts w:ascii="仿宋_GB2312" w:hAnsi="仿宋_GB2312" w:eastAsia="仿宋_GB2312" w:cs="仿宋_GB2312"/>
          <w:kern w:val="0"/>
          <w:sz w:val="32"/>
          <w:szCs w:val="32"/>
        </w:rPr>
        <w:t>监督体系，依托相关部门环境监管平台和大数据，及时评估和预警生态风险，</w:t>
      </w:r>
      <w:r>
        <w:rPr>
          <w:rFonts w:hint="eastAsia" w:ascii="仿宋_GB2312" w:hAnsi="仿宋_GB2312" w:eastAsia="仿宋_GB2312" w:cs="仿宋_GB2312"/>
          <w:kern w:val="0"/>
          <w:sz w:val="32"/>
          <w:szCs w:val="32"/>
        </w:rPr>
        <w:t>建立生态环境监测与监管联动机制。</w:t>
      </w:r>
      <w:r>
        <w:rPr>
          <w:rFonts w:hint="eastAsia" w:ascii="Times New Roman" w:hAnsi="Times New Roman" w:eastAsia="仿宋_GB2312" w:cs="Times New Roman"/>
          <w:sz w:val="32"/>
          <w:szCs w:val="32"/>
        </w:rPr>
        <w:t>完善环境保护、节能减排约束性指标管理</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建立水资源刚性约束制度。</w:t>
      </w:r>
      <w:r>
        <w:rPr>
          <w:rFonts w:ascii="仿宋_GB2312" w:hAnsi="仿宋_GB2312" w:eastAsia="仿宋_GB2312" w:cs="仿宋_GB2312"/>
          <w:b/>
          <w:bCs/>
          <w:kern w:val="0"/>
          <w:sz w:val="32"/>
          <w:szCs w:val="32"/>
        </w:rPr>
        <w:t>建立评估考核机制</w:t>
      </w:r>
      <w:r>
        <w:rPr>
          <w:rFonts w:hint="eastAsia" w:ascii="仿宋_GB2312" w:hAnsi="仿宋_GB2312" w:eastAsia="仿宋_GB2312" w:cs="仿宋_GB2312"/>
          <w:b/>
          <w:bCs/>
          <w:kern w:val="0"/>
          <w:sz w:val="32"/>
          <w:szCs w:val="32"/>
        </w:rPr>
        <w:t>，</w:t>
      </w:r>
      <w:r>
        <w:rPr>
          <w:rFonts w:hint="eastAsia" w:ascii="Times New Roman" w:hAnsi="Times New Roman" w:eastAsia="仿宋_GB2312" w:cs="Times New Roman"/>
          <w:sz w:val="32"/>
          <w:szCs w:val="32"/>
        </w:rPr>
        <w:t>健全完善河长制、湖长制、林长制，加强生态环境保护督察，健全生态环境评价考核和责任追究制度，严格执行生态保护红线管控要求</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kern w:val="0"/>
          <w:sz w:val="32"/>
          <w:szCs w:val="32"/>
        </w:rPr>
        <w:t>开展生态系统保护成效监测评估，</w:t>
      </w:r>
      <w:r>
        <w:rPr>
          <w:rFonts w:ascii="仿宋_GB2312" w:hAnsi="仿宋_GB2312" w:eastAsia="仿宋_GB2312" w:cs="仿宋_GB2312"/>
          <w:kern w:val="0"/>
          <w:sz w:val="32"/>
          <w:szCs w:val="32"/>
        </w:rPr>
        <w:t>定期组织生态环境评价考核，将考核结果纳入生态文明建设目标评价考核体系</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健全生态保护补偿制度，</w:t>
      </w:r>
      <w:r>
        <w:rPr>
          <w:rFonts w:hint="eastAsia" w:ascii="仿宋_GB2312" w:hAnsi="仿宋_GB2312" w:eastAsia="仿宋_GB2312" w:cs="仿宋_GB2312"/>
          <w:kern w:val="0"/>
          <w:sz w:val="32"/>
          <w:szCs w:val="32"/>
        </w:rPr>
        <w:t>按照“权责统一、合理补偿、政府主导、社会参与、统筹兼顾、转型发展”原则，着力落实森林、湿地、水流、耕地等重点领域生态保护补偿任务，建立市场化、多元化生态补偿机制。</w:t>
      </w:r>
      <w:r>
        <w:rPr>
          <w:rFonts w:hint="eastAsia" w:ascii="仿宋_GB2312" w:hAnsi="仿宋_GB2312" w:eastAsia="仿宋_GB2312" w:cs="仿宋_GB2312"/>
          <w:b/>
          <w:bCs/>
          <w:kern w:val="0"/>
          <w:sz w:val="32"/>
          <w:szCs w:val="32"/>
        </w:rPr>
        <w:t>强化执法监督检查，</w:t>
      </w:r>
      <w:r>
        <w:rPr>
          <w:rFonts w:hint="eastAsia" w:ascii="仿宋_GB2312" w:hAnsi="仿宋_GB2312" w:eastAsia="仿宋_GB2312" w:cs="仿宋_GB2312"/>
          <w:kern w:val="0"/>
          <w:sz w:val="32"/>
          <w:szCs w:val="32"/>
        </w:rPr>
        <w:t>加强与司法机关沟通协调，建立执法联动协作机制，强化环境行政执法与刑事司法的衔接协作，以零容忍的态度严厉打击破坏污染环境和破坏生态行为。</w:t>
      </w:r>
      <w:r>
        <w:rPr>
          <w:rFonts w:hint="eastAsia" w:ascii="仿宋_GB2312" w:hAnsi="仿宋_GB2312" w:eastAsia="仿宋_GB2312" w:cs="仿宋_GB2312"/>
          <w:b/>
          <w:bCs/>
          <w:kern w:val="0"/>
          <w:sz w:val="32"/>
          <w:szCs w:val="32"/>
        </w:rPr>
        <w:t>完善问题整改和责任追究制度，</w:t>
      </w:r>
      <w:r>
        <w:rPr>
          <w:rFonts w:hint="eastAsia" w:ascii="仿宋_GB2312" w:hAnsi="仿宋_GB2312" w:eastAsia="仿宋_GB2312" w:cs="仿宋_GB2312"/>
          <w:kern w:val="0"/>
          <w:sz w:val="32"/>
          <w:szCs w:val="32"/>
        </w:rPr>
        <w:t>严格落实环境保护“党政同责、一岗双责”，严肃追责问责，进一步压实压牢整改责任。</w:t>
      </w:r>
      <w:r>
        <w:rPr>
          <w:rFonts w:hint="eastAsia" w:ascii="Times New Roman" w:hAnsi="Times New Roman" w:eastAsia="仿宋_GB2312" w:cs="Times New Roman"/>
          <w:sz w:val="32"/>
          <w:szCs w:val="32"/>
        </w:rPr>
        <w:t>坚决制止和惩处破坏生态环境行为，完善生态环境公益诉讼制度。</w:t>
      </w:r>
    </w:p>
    <w:p w14:paraId="7A50EF1A">
      <w:pPr>
        <w:widowControl/>
        <w:jc w:val="left"/>
        <w:rPr>
          <w:rFonts w:ascii="方正小标宋简体" w:hAnsi="方正小标宋简体" w:eastAsia="方正小标宋简体" w:cs="方正小标宋简体"/>
          <w:b/>
          <w:bCs/>
          <w:kern w:val="44"/>
          <w:sz w:val="36"/>
          <w:szCs w:val="36"/>
        </w:rPr>
      </w:pPr>
      <w:r>
        <w:rPr>
          <w:rFonts w:ascii="方正小标宋简体" w:hAnsi="方正小标宋简体" w:eastAsia="方正小标宋简体" w:cs="方正小标宋简体"/>
          <w:sz w:val="36"/>
          <w:szCs w:val="36"/>
        </w:rPr>
        <w:br w:type="page"/>
      </w:r>
    </w:p>
    <w:p w14:paraId="4720957E">
      <w:pPr>
        <w:pStyle w:val="3"/>
        <w:spacing w:before="312" w:beforeLines="100" w:after="312" w:afterLines="100" w:line="560" w:lineRule="exact"/>
        <w:jc w:val="center"/>
        <w:rPr>
          <w:rFonts w:ascii="方正小标宋简体" w:hAnsi="方正小标宋简体" w:eastAsia="方正小标宋简体" w:cs="方正小标宋简体"/>
          <w:b w:val="0"/>
          <w:bCs w:val="0"/>
          <w:sz w:val="36"/>
          <w:szCs w:val="36"/>
        </w:rPr>
      </w:pPr>
      <w:bookmarkStart w:id="668" w:name="_Toc2375"/>
      <w:bookmarkStart w:id="669" w:name="_Toc28768"/>
      <w:bookmarkStart w:id="670" w:name="_Toc6018"/>
      <w:bookmarkStart w:id="671" w:name="_Toc15594"/>
      <w:bookmarkStart w:id="672" w:name="_Toc61193826"/>
      <w:bookmarkStart w:id="673" w:name="_Toc6411"/>
      <w:bookmarkStart w:id="674" w:name="_Toc18207"/>
      <w:bookmarkStart w:id="675" w:name="_Toc27341"/>
      <w:bookmarkStart w:id="676" w:name="_Toc6253"/>
      <w:bookmarkStart w:id="677" w:name="_Toc58580325"/>
      <w:bookmarkStart w:id="678" w:name="_Toc2294"/>
      <w:bookmarkStart w:id="679" w:name="_Toc11733"/>
      <w:bookmarkStart w:id="680" w:name="_Toc23290"/>
      <w:bookmarkStart w:id="681" w:name="_Toc19963"/>
      <w:bookmarkStart w:id="682" w:name="_Toc27779"/>
      <w:bookmarkStart w:id="683" w:name="_Toc26206"/>
      <w:r>
        <w:rPr>
          <w:rFonts w:hint="eastAsia" w:ascii="方正小标宋简体" w:hAnsi="方正小标宋简体" w:eastAsia="方正小标宋简体" w:cs="方正小标宋简体"/>
          <w:b w:val="0"/>
          <w:bCs w:val="0"/>
          <w:sz w:val="36"/>
          <w:szCs w:val="36"/>
        </w:rPr>
        <w:t xml:space="preserve">第十一章 </w:t>
      </w:r>
      <w:r>
        <w:rPr>
          <w:rFonts w:ascii="方正小标宋简体" w:hAnsi="方正小标宋简体" w:eastAsia="方正小标宋简体" w:cs="方正小标宋简体"/>
          <w:b w:val="0"/>
          <w:bCs w:val="0"/>
          <w:sz w:val="36"/>
          <w:szCs w:val="36"/>
        </w:rPr>
        <w:t xml:space="preserve"> </w:t>
      </w:r>
      <w:r>
        <w:rPr>
          <w:rFonts w:hint="eastAsia" w:ascii="方正小标宋简体" w:hAnsi="方正小标宋简体" w:eastAsia="方正小标宋简体" w:cs="方正小标宋简体"/>
          <w:b w:val="0"/>
          <w:bCs w:val="0"/>
          <w:sz w:val="36"/>
          <w:szCs w:val="36"/>
        </w:rPr>
        <w:t>坚持改革创新</w:t>
      </w:r>
      <w:r>
        <w:rPr>
          <w:rFonts w:hint="eastAsia" w:ascii="方正小标宋简体" w:hAnsi="方正小标宋简体" w:eastAsia="方正小标宋简体" w:cs="方正小标宋简体"/>
          <w:b w:val="0"/>
          <w:bCs w:val="0"/>
          <w:sz w:val="36"/>
          <w:szCs w:val="36"/>
          <w:lang w:val="en-US" w:eastAsia="zh-CN"/>
        </w:rPr>
        <w:t xml:space="preserve"> 高质量</w:t>
      </w:r>
      <w:r>
        <w:rPr>
          <w:rFonts w:hint="eastAsia" w:ascii="方正小标宋简体" w:hAnsi="方正小标宋简体" w:eastAsia="方正小标宋简体" w:cs="方正小标宋简体"/>
          <w:b w:val="0"/>
          <w:bCs w:val="0"/>
          <w:sz w:val="36"/>
          <w:szCs w:val="36"/>
        </w:rPr>
        <w:t>激发县域发展活力</w:t>
      </w:r>
      <w:bookmarkEnd w:id="596"/>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392CC7F3">
      <w:pPr>
        <w:tabs>
          <w:tab w:val="left" w:pos="1440"/>
        </w:tabs>
        <w:adjustRightInd w:val="0"/>
        <w:snapToGrid w:val="0"/>
        <w:spacing w:line="520" w:lineRule="exact"/>
        <w:ind w:firstLine="640" w:firstLineChars="200"/>
        <w:rPr>
          <w:rFonts w:ascii="Times New Roman" w:hAnsi="Times New Roman" w:eastAsia="仿宋_GB2312" w:cs="Times New Roman"/>
          <w:sz w:val="32"/>
          <w:szCs w:val="32"/>
        </w:rPr>
      </w:pPr>
      <w:bookmarkStart w:id="684" w:name="_Toc265"/>
      <w:bookmarkStart w:id="685" w:name="_Toc26352"/>
      <w:r>
        <w:rPr>
          <w:rFonts w:hint="eastAsia" w:ascii="Times New Roman" w:hAnsi="Times New Roman" w:eastAsia="仿宋_GB2312" w:cs="Times New Roman"/>
          <w:sz w:val="32"/>
          <w:szCs w:val="32"/>
        </w:rPr>
        <w:t>充分发挥改革的突破力和先导力，破解县域营商环境“肠梗阻”问题，</w:t>
      </w:r>
      <w:r>
        <w:rPr>
          <w:rFonts w:hint="eastAsia" w:ascii="仿宋_GB2312" w:hAnsi="仿宋_GB2312" w:eastAsia="仿宋_GB2312" w:cs="仿宋_GB2312"/>
          <w:sz w:val="32"/>
          <w:szCs w:val="32"/>
        </w:rPr>
        <w:t>破除体制机制障碍。</w:t>
      </w:r>
      <w:r>
        <w:rPr>
          <w:rFonts w:hint="eastAsia" w:ascii="Times New Roman" w:hAnsi="Times New Roman" w:eastAsia="仿宋_GB2312" w:cs="Times New Roman"/>
          <w:sz w:val="32"/>
          <w:szCs w:val="32"/>
        </w:rPr>
        <w:t>坚持把科技创新作为推动社会前进的核心动力，以改革促创新、以创新促发展，全力推动科技创新催生传统产业提质改造，以科技创新引领带动各项事业发生历史性变革，取得历史性成就。</w:t>
      </w:r>
      <w:r>
        <w:rPr>
          <w:rFonts w:hint="eastAsia" w:ascii="仿宋_GB2312" w:hAnsi="仿宋_GB2312" w:eastAsia="仿宋_GB2312" w:cs="仿宋_GB2312"/>
          <w:sz w:val="32"/>
          <w:szCs w:val="32"/>
        </w:rPr>
        <w:t>推动改革创新更好服务经济社会发展大局。</w:t>
      </w:r>
    </w:p>
    <w:bookmarkEnd w:id="684"/>
    <w:p w14:paraId="4DAC6C45">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686" w:name="_Toc24862"/>
      <w:bookmarkStart w:id="687" w:name="_Toc58580326"/>
      <w:bookmarkStart w:id="688" w:name="_Toc11274"/>
      <w:bookmarkStart w:id="689" w:name="_Toc23565"/>
      <w:bookmarkStart w:id="690" w:name="_Toc61193827"/>
      <w:bookmarkStart w:id="691" w:name="_Toc17142"/>
      <w:bookmarkStart w:id="692" w:name="_Toc31037"/>
      <w:bookmarkStart w:id="693" w:name="_Toc17636"/>
      <w:bookmarkStart w:id="694" w:name="_Toc26421"/>
      <w:bookmarkStart w:id="695" w:name="_Toc25467"/>
      <w:r>
        <w:rPr>
          <w:rFonts w:hint="eastAsia" w:ascii="方正小标宋简体" w:hAnsi="方正小标宋简体" w:eastAsia="方正小标宋简体" w:cs="方正小标宋简体"/>
          <w:b w:val="0"/>
          <w:bCs w:val="0"/>
          <w:kern w:val="0"/>
        </w:rPr>
        <w:t>第一节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全面深化改革</w:t>
      </w:r>
      <w:bookmarkEnd w:id="686"/>
      <w:bookmarkEnd w:id="687"/>
      <w:bookmarkEnd w:id="688"/>
      <w:bookmarkEnd w:id="689"/>
      <w:bookmarkEnd w:id="690"/>
      <w:bookmarkEnd w:id="691"/>
      <w:bookmarkEnd w:id="692"/>
      <w:bookmarkEnd w:id="693"/>
      <w:bookmarkEnd w:id="694"/>
      <w:bookmarkEnd w:id="695"/>
    </w:p>
    <w:p w14:paraId="1B2B02EF">
      <w:pPr>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深入推进供给侧结构性改革</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坚持以供给侧结构性改革为主线不动摇，认真贯彻落实“巩固、增强、提升、畅通”八字方针，巩固“三去一降一补”成果，加大破、立、降力度，推动经济发展质量变革、效率变革、动力变革。</w:t>
      </w:r>
      <w:r>
        <w:rPr>
          <w:rFonts w:hint="eastAsia" w:ascii="仿宋_GB2312" w:hAnsi="仿宋_GB2312" w:eastAsia="仿宋_GB2312" w:cs="仿宋_GB2312"/>
          <w:b/>
          <w:bCs/>
          <w:sz w:val="32"/>
          <w:szCs w:val="32"/>
        </w:rPr>
        <w:t>破除无效供给，淘汰低效过剩产能。</w:t>
      </w:r>
      <w:r>
        <w:rPr>
          <w:rFonts w:hint="eastAsia" w:ascii="仿宋_GB2312" w:hAnsi="仿宋_GB2312" w:eastAsia="仿宋_GB2312" w:cs="仿宋_GB2312"/>
          <w:sz w:val="32"/>
          <w:szCs w:val="32"/>
        </w:rPr>
        <w:t>到2025年，完成全县30万吨/年以下煤矿退出工作，推动利发、周家田、姜家堰3家煤矿企业技改达到4</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万吨/年。各类商品房去化周期在可控范围。</w:t>
      </w:r>
      <w:r>
        <w:rPr>
          <w:rFonts w:hint="eastAsia" w:ascii="仿宋_GB2312" w:hAnsi="仿宋_GB2312" w:eastAsia="仿宋_GB2312" w:cs="仿宋_GB2312"/>
          <w:b/>
          <w:bCs/>
          <w:sz w:val="32"/>
          <w:szCs w:val="32"/>
        </w:rPr>
        <w:t>培育新动能，促进新要素流动。</w:t>
      </w:r>
      <w:r>
        <w:rPr>
          <w:rFonts w:hint="eastAsia" w:ascii="仿宋_GB2312" w:hAnsi="仿宋_GB2312" w:eastAsia="仿宋_GB2312" w:cs="仿宋_GB2312"/>
          <w:sz w:val="32"/>
          <w:szCs w:val="32"/>
        </w:rPr>
        <w:t>借助国家大力推行“两新一重”建设的契机，着力打通生产、分配、流通、消费各个环节，加快培育发展新产业、新产品、新技术，在传统产业优化升级中形成新动能，加快人流、物流、资金流等要素流动。</w:t>
      </w:r>
      <w:r>
        <w:rPr>
          <w:rFonts w:hint="eastAsia" w:ascii="仿宋_GB2312" w:hAnsi="仿宋_GB2312" w:eastAsia="仿宋_GB2312" w:cs="仿宋_GB2312"/>
          <w:b/>
          <w:bCs/>
          <w:sz w:val="32"/>
          <w:szCs w:val="32"/>
        </w:rPr>
        <w:t>降低制度性交易成本、用能和物流成本。</w:t>
      </w:r>
      <w:r>
        <w:rPr>
          <w:rFonts w:hint="eastAsia" w:ascii="仿宋_GB2312" w:hAnsi="仿宋_GB2312" w:eastAsia="仿宋_GB2312" w:cs="仿宋_GB2312"/>
          <w:sz w:val="32"/>
          <w:szCs w:val="32"/>
        </w:rPr>
        <w:t>落实国家减税降费政策、进一步清理规范涉企收费、再降低一般工商业平均电价等一系列降成本政策，切实使降费红利及时传导至终端用户。</w:t>
      </w:r>
    </w:p>
    <w:p w14:paraId="6DBA234C">
      <w:pPr>
        <w:spacing w:line="560" w:lineRule="exact"/>
        <w:ind w:firstLine="643" w:firstLineChars="200"/>
        <w:rPr>
          <w:rFonts w:ascii="仿宋_GB2312" w:hAnsi="仿宋_GB2312" w:eastAsia="仿宋_GB2312" w:cs="仿宋_GB2312"/>
          <w:b/>
          <w:bCs/>
          <w:sz w:val="32"/>
          <w:szCs w:val="32"/>
        </w:rPr>
      </w:pPr>
      <w:r>
        <w:rPr>
          <w:rFonts w:hint="eastAsia" w:ascii="黑体" w:hAnsi="黑体" w:eastAsia="黑体"/>
          <w:b/>
          <w:bCs/>
          <w:sz w:val="32"/>
          <w:szCs w:val="32"/>
        </w:rPr>
        <w:t>统筹推进其它各项改革</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稳步推进县域义务教育优质均衡发展试点县创建，推进素质教育向纵深发展，加强教师队伍管理，坚持不忘立德树人初心，牢记育人育才使命，提升教育教学质量。</w:t>
      </w:r>
      <w:r>
        <w:rPr>
          <w:rFonts w:hint="eastAsia" w:ascii="仿宋_GB2312" w:hAnsi="仿宋_GB2312" w:eastAsia="仿宋_GB2312" w:cs="仿宋_GB2312"/>
          <w:sz w:val="32"/>
          <w:szCs w:val="32"/>
          <w:lang w:val="en-US" w:eastAsia="zh-CN"/>
        </w:rPr>
        <w:t>建立健全公共卫生应急管理体系</w:t>
      </w:r>
      <w:r>
        <w:rPr>
          <w:rFonts w:hint="eastAsia" w:ascii="仿宋_GB2312" w:hAnsi="仿宋_GB2312" w:eastAsia="仿宋_GB2312" w:cs="仿宋_GB2312"/>
          <w:sz w:val="32"/>
          <w:szCs w:val="32"/>
        </w:rPr>
        <w:t>，促进分级诊疗落地落实，提升基本医疗和公共卫生服务质量及水平，大力开展爱国卫生运动，强化卫生应急能力建设。建立公建民营及医养结合的综合性养老机构，实现全县社会化养老新突破。持续推进生态文明制度建设，严守“两条底线”。</w:t>
      </w:r>
    </w:p>
    <w:p w14:paraId="21ABE069">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696" w:name="_Toc58580327"/>
      <w:bookmarkStart w:id="697" w:name="_Toc22539"/>
      <w:bookmarkStart w:id="698" w:name="_Toc17566"/>
      <w:bookmarkStart w:id="699" w:name="_Toc5941"/>
      <w:bookmarkStart w:id="700" w:name="_Toc24518"/>
      <w:bookmarkStart w:id="701" w:name="_Toc22930"/>
      <w:bookmarkStart w:id="702" w:name="_Toc20319"/>
      <w:bookmarkStart w:id="703" w:name="_Toc8536"/>
      <w:bookmarkStart w:id="704" w:name="_Toc49344416"/>
      <w:bookmarkStart w:id="705" w:name="_Toc61193828"/>
      <w:bookmarkStart w:id="706" w:name="_Toc19682"/>
      <w:bookmarkStart w:id="707" w:name="_Toc6811"/>
      <w:bookmarkStart w:id="708" w:name="_Toc16181"/>
      <w:bookmarkStart w:id="709" w:name="_Toc12215"/>
      <w:bookmarkStart w:id="710" w:name="_Toc24860"/>
      <w:bookmarkStart w:id="711" w:name="_Toc2482"/>
      <w:bookmarkStart w:id="712" w:name="_Toc23951"/>
      <w:r>
        <w:rPr>
          <w:rFonts w:hint="eastAsia" w:ascii="方正小标宋简体" w:hAnsi="方正小标宋简体" w:eastAsia="方正小标宋简体" w:cs="方正小标宋简体"/>
          <w:b w:val="0"/>
          <w:bCs w:val="0"/>
          <w:kern w:val="0"/>
        </w:rPr>
        <w:t>第二节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提升政府治理效能</w:t>
      </w:r>
      <w:r>
        <w:rPr>
          <w:rFonts w:hint="eastAsia" w:ascii="方正小标宋简体" w:hAnsi="方正小标宋简体" w:eastAsia="方正小标宋简体" w:cs="方正小标宋简体"/>
          <w:b w:val="0"/>
          <w:bCs w:val="0"/>
          <w:kern w:val="0"/>
          <w:lang w:val="en-US" w:eastAsia="zh-CN"/>
        </w:rPr>
        <w:t xml:space="preserve">  </w:t>
      </w:r>
      <w:r>
        <w:rPr>
          <w:rFonts w:hint="eastAsia" w:ascii="方正小标宋简体" w:hAnsi="方正小标宋简体" w:eastAsia="方正小标宋简体" w:cs="方正小标宋简体"/>
          <w:b w:val="0"/>
          <w:bCs w:val="0"/>
          <w:kern w:val="0"/>
        </w:rPr>
        <w:t>激发各类市场主体活力</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69633D00">
      <w:pPr>
        <w:tabs>
          <w:tab w:val="left" w:pos="1440"/>
        </w:tabs>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黑体" w:hAnsi="黑体" w:eastAsia="黑体"/>
          <w:b/>
          <w:bCs/>
          <w:kern w:val="0"/>
          <w:sz w:val="32"/>
          <w:szCs w:val="32"/>
        </w:rPr>
        <w:t>全力提升政府治理效能</w:t>
      </w:r>
      <w:r>
        <w:rPr>
          <w:rFonts w:hint="eastAsia" w:ascii="黑体" w:hAnsi="黑体" w:eastAsia="黑体"/>
          <w:kern w:val="0"/>
          <w:sz w:val="32"/>
          <w:szCs w:val="32"/>
        </w:rPr>
        <w:t>。</w:t>
      </w:r>
      <w:r>
        <w:rPr>
          <w:rFonts w:hint="eastAsia" w:ascii="Times New Roman" w:hAnsi="Times New Roman" w:eastAsia="仿宋_GB2312" w:cs="Times New Roman"/>
          <w:sz w:val="32"/>
          <w:szCs w:val="32"/>
        </w:rPr>
        <w:t>深化数字政府建设，持续转变政府职能，提升服务效能，让企业和群众办事更便捷。推进执法制度改革，深入</w:t>
      </w:r>
      <w:r>
        <w:rPr>
          <w:rFonts w:ascii="Times New Roman" w:hAnsi="Times New Roman" w:eastAsia="仿宋_GB2312" w:cs="Times New Roman"/>
          <w:sz w:val="32"/>
          <w:szCs w:val="32"/>
        </w:rPr>
        <w:t>清理行政裁决事项、全面推行行政执法“三项制度”，强化执法资格管理、规范行政执法证和行政执法监督证管理，</w:t>
      </w:r>
      <w:r>
        <w:rPr>
          <w:rFonts w:hint="eastAsia" w:ascii="Times New Roman" w:hAnsi="Times New Roman" w:eastAsia="仿宋_GB2312" w:cs="Times New Roman"/>
          <w:sz w:val="32"/>
          <w:szCs w:val="32"/>
        </w:rPr>
        <w:t>提升执法权威性、公开性、公平性</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进一步健全公平竞争审查机制，加强反不正当竞争执法，破除干扰市场主体正常经营的不利因素，切实提升市场综合监管能力。</w:t>
      </w:r>
      <w:r>
        <w:rPr>
          <w:rFonts w:hint="eastAsia" w:ascii="Times New Roman" w:hAnsi="Times New Roman" w:eastAsia="仿宋_GB2312" w:cs="Times New Roman"/>
          <w:sz w:val="32"/>
          <w:szCs w:val="32"/>
        </w:rPr>
        <w:t>完善政企联络机制，拓展政务沟通渠道，构建开放性经济政府服务体系。</w:t>
      </w:r>
      <w:r>
        <w:rPr>
          <w:rFonts w:ascii="Times New Roman" w:hAnsi="Times New Roman" w:eastAsia="仿宋_GB2312" w:cs="Times New Roman"/>
          <w:sz w:val="32"/>
          <w:szCs w:val="32"/>
        </w:rPr>
        <w:t>强化对行政权力的制约和监督，完善各项监督制度</w:t>
      </w:r>
      <w:r>
        <w:rPr>
          <w:rFonts w:hint="eastAsia" w:ascii="Times New Roman" w:hAnsi="Times New Roman" w:eastAsia="仿宋_GB2312" w:cs="Times New Roman"/>
          <w:sz w:val="32"/>
          <w:szCs w:val="32"/>
        </w:rPr>
        <w:t>，构建全方位行政监督体系</w:t>
      </w:r>
      <w:r>
        <w:rPr>
          <w:rFonts w:ascii="Times New Roman" w:hAnsi="Times New Roman" w:eastAsia="仿宋_GB2312" w:cs="Times New Roman"/>
          <w:sz w:val="32"/>
          <w:szCs w:val="32"/>
        </w:rPr>
        <w:t>。深化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放管服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改革</w:t>
      </w:r>
      <w:r>
        <w:rPr>
          <w:rFonts w:hint="eastAsia" w:ascii="Times New Roman" w:hAnsi="Times New Roman" w:eastAsia="仿宋_GB2312" w:cs="Times New Roman"/>
          <w:sz w:val="32"/>
          <w:szCs w:val="32"/>
        </w:rPr>
        <w:t>，打造高质量</w:t>
      </w:r>
      <w:r>
        <w:rPr>
          <w:rFonts w:ascii="Times New Roman" w:hAnsi="Times New Roman" w:eastAsia="仿宋_GB2312" w:cs="Times New Roman"/>
          <w:sz w:val="32"/>
          <w:szCs w:val="32"/>
        </w:rPr>
        <w:t>政务服务</w:t>
      </w:r>
      <w:r>
        <w:rPr>
          <w:rFonts w:hint="eastAsia" w:ascii="Times New Roman" w:hAnsi="Times New Roman" w:eastAsia="仿宋_GB2312" w:cs="Times New Roman"/>
          <w:sz w:val="32"/>
          <w:szCs w:val="32"/>
        </w:rPr>
        <w:t>，深化简政放权放出活力动力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加强放管结合管出公平秩序、提升政府服务效能服出便利品质，开办企业全流程1个工作日办结，工程建设项目审批时限减至6</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个工作日以内，将供电企业办理电力用户用电业务平均时间减至4</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个工作日以内。将水气设施报装提前到施工许可证核发后办理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住房体制改革，建立健全买房与租房并举、市场配置与政府保障相结合的住房制度</w:t>
      </w:r>
      <w:r>
        <w:rPr>
          <w:rFonts w:hint="eastAsia" w:ascii="Times New Roman" w:hAnsi="Times New Roman" w:eastAsia="仿宋_GB2312" w:cs="Times New Roman"/>
          <w:sz w:val="32"/>
          <w:szCs w:val="32"/>
        </w:rPr>
        <w:t>。</w:t>
      </w:r>
    </w:p>
    <w:p w14:paraId="639F1EAC">
      <w:pPr>
        <w:tabs>
          <w:tab w:val="left" w:pos="1440"/>
        </w:tabs>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黑体" w:hAnsi="黑体" w:eastAsia="黑体"/>
          <w:b/>
          <w:bCs/>
          <w:kern w:val="0"/>
          <w:sz w:val="32"/>
          <w:szCs w:val="32"/>
        </w:rPr>
        <w:t>建立完善县域财税金融机制。</w:t>
      </w:r>
      <w:r>
        <w:rPr>
          <w:rFonts w:hint="eastAsia" w:ascii="Times New Roman" w:hAnsi="Times New Roman" w:eastAsia="仿宋_GB2312" w:cs="Times New Roman"/>
          <w:sz w:val="32"/>
          <w:szCs w:val="32"/>
        </w:rPr>
        <w:t>加强财政资源统筹，健全财政体制，促进形成权责清晰、财力协调、区域均衡的县域财税金融关系。平衡好稳增长与防风险的关系，着力涵养和培植财源，合理控制非税收入占比，做大财政收入总量、提升质量。强化“政金企”对接，鼓励本土金融机构运用科技金融手段、建立金融生态平台等方式，推进金融活水流向小微企业。强化财政资金、国有资产、金融资源协同，形成市场主导、政府引导的投资内生增长机制，激发民间有效投资活力。加强财政资源统筹，全面实施预算绩效管理，强化中期财政规划管理，增强重大任务财力保障。深化区域金融改革和地方法人金融机构改革，健全国有金融管理体制，加快普惠金融体系建设，完善财政金融互动政策体系，推动金融有效支持县域实体经济发展。完善金融监管体系，提高金融部门监管的透明度和法治化水平，健全金融风险预防、预警、处置、问责制度体系，完善对财税金融违法违纪行为实行零容忍的工作机制。</w:t>
      </w:r>
    </w:p>
    <w:p w14:paraId="5ED342F9">
      <w:pPr>
        <w:tabs>
          <w:tab w:val="left" w:pos="1440"/>
        </w:tabs>
        <w:adjustRightInd w:val="0"/>
        <w:snapToGrid w:val="0"/>
        <w:spacing w:line="520" w:lineRule="exact"/>
        <w:ind w:firstLine="643" w:firstLineChars="200"/>
        <w:rPr>
          <w:rFonts w:ascii="Times New Roman" w:hAnsi="Times New Roman" w:eastAsia="黑体" w:cs="Times New Roman"/>
          <w:sz w:val="32"/>
          <w:szCs w:val="32"/>
        </w:rPr>
      </w:pPr>
      <w:r>
        <w:rPr>
          <w:rFonts w:hint="eastAsia" w:ascii="黑体" w:hAnsi="黑体" w:eastAsia="黑体"/>
          <w:b/>
          <w:bCs/>
          <w:kern w:val="0"/>
          <w:sz w:val="32"/>
          <w:szCs w:val="32"/>
        </w:rPr>
        <w:t>着力打造一流营商环境。</w:t>
      </w:r>
      <w:r>
        <w:rPr>
          <w:rFonts w:hint="eastAsia" w:ascii="Times New Roman" w:hAnsi="Times New Roman" w:eastAsia="仿宋_GB2312" w:cs="Times New Roman"/>
          <w:sz w:val="32"/>
          <w:szCs w:val="32"/>
        </w:rPr>
        <w:t>聚焦企业设立经营发展全生命周期，进一步打造市场化法治化国际化营商环境。加快服务型政府建设，持续优化“一网通办”平台建设，精简行政审批事项和环节，加强政务服务改革。依法平等保护各类市场主体产权和自主经营权。全面实行政府权责清单制度，深入实施市场准入负面清单制度。健全新型监管体系，加强事中事后监管，对新产业新业态实行包容审慎监管。推进政务服务标准化、规范化、便利化，深化政务公开。建立地方信用体系和政府失信责任追究制度，健全清理和防止拖欠民营企业中小企业账款长效机制，加强诚信息烽建设。进一步推进县级领导联系企业制度，有针对性地解决企业发展中的具体问题和困难。构建亲清政商关系，搭建非公经济服务平台，促进政府和企业良性互动。</w:t>
      </w:r>
    </w:p>
    <w:p w14:paraId="73104221">
      <w:pPr>
        <w:tabs>
          <w:tab w:val="left" w:pos="1440"/>
        </w:tabs>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黑体" w:hAnsi="黑体" w:eastAsia="黑体"/>
          <w:b/>
          <w:bCs/>
          <w:sz w:val="32"/>
          <w:szCs w:val="32"/>
        </w:rPr>
        <w:t>全面激发各类市场活力</w:t>
      </w:r>
      <w:r>
        <w:rPr>
          <w:rFonts w:hint="eastAsia" w:ascii="黑体" w:hAnsi="黑体" w:eastAsia="黑体"/>
          <w:sz w:val="32"/>
          <w:szCs w:val="32"/>
        </w:rPr>
        <w:t>。</w:t>
      </w:r>
      <w:r>
        <w:rPr>
          <w:rFonts w:hint="eastAsia" w:ascii="Times New Roman" w:hAnsi="Times New Roman" w:eastAsia="仿宋_GB2312" w:cs="Times New Roman"/>
          <w:sz w:val="32"/>
          <w:szCs w:val="32"/>
        </w:rPr>
        <w:t>强化党对县属国企国资改革的领导，进一步整合资源优化配置，规范拓展县属国有企业融资方式，严格监管县属国企国资运作，大力支持县属国有企业市场化转型发展，将县属国有企业打造成为县域经济高质量发展的重要支柱。鼓励、支持、引导非公有制经济发展，落实减税降费政策，完善支持中小微企业和个体工商户发展的政策，健全完善救助补偿机制，帮助和支持非公企业全产业链建设发展。制定乡贤创业扶持计划，鼓励和帮助“新乡贤”在息投资兴业。</w:t>
      </w:r>
    </w:p>
    <w:p w14:paraId="35EA97FB">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713" w:name="_Toc10572"/>
      <w:bookmarkStart w:id="714" w:name="_Toc7565"/>
      <w:bookmarkStart w:id="715" w:name="_Toc7835"/>
      <w:bookmarkStart w:id="716" w:name="_Toc31192"/>
      <w:bookmarkStart w:id="717" w:name="_Toc61193829"/>
      <w:bookmarkStart w:id="718" w:name="_Toc58580328"/>
      <w:bookmarkStart w:id="719" w:name="_Toc19810"/>
      <w:bookmarkStart w:id="720" w:name="_Toc49344417"/>
      <w:bookmarkStart w:id="721" w:name="_Toc22134"/>
      <w:bookmarkStart w:id="722" w:name="_Toc28195"/>
      <w:bookmarkStart w:id="723" w:name="_Toc13490"/>
      <w:bookmarkStart w:id="724" w:name="_Toc10861"/>
      <w:bookmarkStart w:id="725" w:name="_Toc5460"/>
      <w:bookmarkStart w:id="726" w:name="_Toc12925"/>
      <w:bookmarkStart w:id="727" w:name="_Toc19104"/>
      <w:bookmarkStart w:id="728" w:name="_Toc18084"/>
      <w:bookmarkStart w:id="729" w:name="_Toc13091"/>
      <w:r>
        <w:rPr>
          <w:rFonts w:hint="eastAsia" w:ascii="方正小标宋简体" w:hAnsi="方正小标宋简体" w:eastAsia="方正小标宋简体" w:cs="方正小标宋简体"/>
          <w:b w:val="0"/>
          <w:bCs w:val="0"/>
          <w:kern w:val="0"/>
        </w:rPr>
        <w:t>第三节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大力引进和培育创新人才</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3ED8F700">
      <w:pPr>
        <w:spacing w:line="560" w:lineRule="exact"/>
        <w:ind w:firstLine="633" w:firstLineChars="198"/>
        <w:rPr>
          <w:rFonts w:ascii="仿宋_GB2312" w:hAnsi="仿宋_GB2312" w:eastAsia="仿宋_GB2312" w:cs="仿宋_GB2312"/>
          <w:kern w:val="0"/>
          <w:sz w:val="32"/>
          <w:szCs w:val="32"/>
        </w:rPr>
      </w:pPr>
      <w:r>
        <w:rPr>
          <w:rFonts w:hint="eastAsia" w:ascii="Times New Roman" w:hAnsi="Times New Roman" w:eastAsia="仿宋_GB2312" w:cs="Times New Roman"/>
          <w:sz w:val="32"/>
          <w:szCs w:val="32"/>
        </w:rPr>
        <w:t>深化人才发展机制改革，全力做好人才引进和培育，畅通人才引进“绿色通道”，更好推动人才集聚。实施引领性产业“人才工程”培育计划，重点引进和培育中高端制造、生态农业、现代化工、生物医药和金融、规划、城建、教育、医疗等重点领域紧缺专业人才。深入实施“龙马工程”定向引培计划，全力促进高层次人才知识储备和专业技术与时俱进。完善服务青年人才机制，激发青年发展活力。建立以创新能力、质量、实效、贡献为内容的创新型人才正向激励评价机制，营造引才、育才、爱才、用才良好环境，着力补齐专业领域人才空缺短板。推进减轻专业技术人才负担行动，着力保障技术人才优惠政策落实，促进利益分配向专业技术人员一端倾斜，全力调动</w:t>
      </w:r>
      <w:r>
        <w:rPr>
          <w:rFonts w:hint="eastAsia" w:ascii="Times New Roman" w:hAnsi="Times New Roman" w:eastAsia="仿宋_GB2312" w:cs="Times New Roman"/>
          <w:sz w:val="32"/>
          <w:szCs w:val="32"/>
          <w:lang w:eastAsia="zh-CN"/>
        </w:rPr>
        <w:t>其</w:t>
      </w:r>
      <w:r>
        <w:rPr>
          <w:rFonts w:hint="eastAsia" w:ascii="Times New Roman" w:hAnsi="Times New Roman" w:eastAsia="仿宋_GB2312" w:cs="Times New Roman"/>
          <w:sz w:val="32"/>
          <w:szCs w:val="32"/>
        </w:rPr>
        <w:t>积极性主动性创造性。落实党政干部联系县域技术人才机制，大力弘扬劳模精神、劳动精神和工匠精神，在全社会掀起勇于创新、干事创业的热情。</w:t>
      </w:r>
      <w:r>
        <w:rPr>
          <w:rFonts w:hint="eastAsia" w:ascii="仿宋_GB2312" w:hAnsi="仿宋_GB2312" w:eastAsia="仿宋_GB2312" w:cs="仿宋_GB2312"/>
          <w:sz w:val="32"/>
          <w:szCs w:val="32"/>
        </w:rPr>
        <w:t>鼓励引进人才创办科技型企业，经评定，单个企业最高可享受</w:t>
      </w:r>
      <w:r>
        <w:rPr>
          <w:rFonts w:ascii="仿宋_GB2312" w:hAnsi="仿宋_GB2312" w:eastAsia="仿宋_GB2312" w:cs="仿宋_GB2312"/>
          <w:sz w:val="32"/>
          <w:szCs w:val="32"/>
        </w:rPr>
        <w:t>50万元县级科技资金资助</w:t>
      </w:r>
      <w:r>
        <w:rPr>
          <w:rFonts w:hint="eastAsia" w:ascii="仿宋_GB2312" w:hAnsi="仿宋_GB2312" w:eastAsia="仿宋_GB2312" w:cs="仿宋_GB2312"/>
          <w:sz w:val="32"/>
          <w:szCs w:val="32"/>
        </w:rPr>
        <w:t>。“十四五”期间，实现中高端人才引进</w:t>
      </w:r>
      <w:r>
        <w:rPr>
          <w:rFonts w:hint="eastAsia" w:ascii="仿宋_GB2312" w:hAnsi="仿宋_GB2312" w:eastAsia="仿宋_GB2312" w:cs="仿宋_GB2312"/>
          <w:kern w:val="0"/>
          <w:sz w:val="32"/>
          <w:szCs w:val="32"/>
        </w:rPr>
        <w:t>150</w:t>
      </w:r>
      <w:r>
        <w:rPr>
          <w:rFonts w:hint="eastAsia" w:ascii="仿宋_GB2312" w:hAnsi="仿宋_GB2312" w:eastAsia="仿宋_GB2312" w:cs="仿宋_GB2312"/>
          <w:sz w:val="32"/>
          <w:szCs w:val="32"/>
        </w:rPr>
        <w:t>人。经营管理、专业技术、技能、农村实用人才队伍总量分别达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万人、</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91</w:t>
      </w:r>
      <w:r>
        <w:rPr>
          <w:rFonts w:ascii="仿宋_GB2312" w:hAnsi="仿宋_GB2312" w:eastAsia="仿宋_GB2312" w:cs="仿宋_GB2312"/>
          <w:sz w:val="32"/>
          <w:szCs w:val="32"/>
        </w:rPr>
        <w:t>万人、1.</w:t>
      </w:r>
      <w:r>
        <w:rPr>
          <w:rFonts w:hint="eastAsia" w:ascii="仿宋_GB2312" w:hAnsi="仿宋_GB2312" w:eastAsia="仿宋_GB2312" w:cs="仿宋_GB2312"/>
          <w:sz w:val="32"/>
          <w:szCs w:val="32"/>
        </w:rPr>
        <w:t>17</w:t>
      </w:r>
      <w:r>
        <w:rPr>
          <w:rFonts w:ascii="仿宋_GB2312" w:hAnsi="仿宋_GB2312" w:eastAsia="仿宋_GB2312" w:cs="仿宋_GB2312"/>
          <w:sz w:val="32"/>
          <w:szCs w:val="32"/>
        </w:rPr>
        <w:t>万人、0.</w:t>
      </w:r>
      <w:r>
        <w:rPr>
          <w:rFonts w:hint="eastAsia" w:ascii="仿宋_GB2312" w:hAnsi="仿宋_GB2312" w:eastAsia="仿宋_GB2312" w:cs="仿宋_GB2312"/>
          <w:sz w:val="32"/>
          <w:szCs w:val="32"/>
        </w:rPr>
        <w:t>29</w:t>
      </w:r>
      <w:r>
        <w:rPr>
          <w:rFonts w:ascii="仿宋_GB2312" w:hAnsi="仿宋_GB2312" w:eastAsia="仿宋_GB2312" w:cs="仿宋_GB2312"/>
          <w:sz w:val="32"/>
          <w:szCs w:val="32"/>
        </w:rPr>
        <w:t>万人</w:t>
      </w:r>
      <w:r>
        <w:rPr>
          <w:rFonts w:hint="eastAsia" w:ascii="仿宋_GB2312" w:hAnsi="仿宋_GB2312" w:eastAsia="仿宋_GB2312" w:cs="仿宋_GB2312"/>
          <w:sz w:val="32"/>
          <w:szCs w:val="32"/>
        </w:rPr>
        <w:t>。</w:t>
      </w:r>
    </w:p>
    <w:p w14:paraId="1E84ED5A">
      <w:pPr>
        <w:pStyle w:val="4"/>
        <w:spacing w:before="312" w:beforeLines="100" w:after="312" w:afterLines="100"/>
        <w:ind w:firstLine="2240" w:firstLineChars="700"/>
        <w:rPr>
          <w:rFonts w:hint="eastAsia" w:ascii="方正小标宋简体" w:hAnsi="方正小标宋简体" w:eastAsia="方正小标宋简体" w:cs="方正小标宋简体"/>
          <w:b w:val="0"/>
          <w:bCs w:val="0"/>
          <w:kern w:val="0"/>
          <w:sz w:val="32"/>
          <w:szCs w:val="32"/>
        </w:rPr>
      </w:pPr>
      <w:bookmarkStart w:id="730" w:name="_Toc31114"/>
      <w:bookmarkStart w:id="731" w:name="_Toc7958"/>
      <w:bookmarkStart w:id="732" w:name="_Toc6938"/>
      <w:bookmarkStart w:id="733" w:name="_Toc20313"/>
      <w:bookmarkStart w:id="734" w:name="_Toc9207"/>
      <w:r>
        <w:rPr>
          <w:rFonts w:hint="eastAsia" w:ascii="方正小标宋简体" w:hAnsi="方正小标宋简体" w:eastAsia="方正小标宋简体" w:cs="方正小标宋简体"/>
          <w:b w:val="0"/>
          <w:bCs w:val="0"/>
          <w:kern w:val="0"/>
          <w:sz w:val="32"/>
          <w:szCs w:val="32"/>
        </w:rPr>
        <w:t>第</w:t>
      </w:r>
      <w:r>
        <w:rPr>
          <w:rFonts w:hint="eastAsia" w:ascii="方正小标宋简体" w:hAnsi="方正小标宋简体" w:eastAsia="方正小标宋简体" w:cs="方正小标宋简体"/>
          <w:b w:val="0"/>
          <w:bCs w:val="0"/>
          <w:kern w:val="0"/>
          <w:sz w:val="32"/>
          <w:szCs w:val="32"/>
          <w:lang w:val="en-US" w:eastAsia="zh-CN"/>
        </w:rPr>
        <w:t>四</w:t>
      </w:r>
      <w:r>
        <w:rPr>
          <w:rFonts w:hint="eastAsia" w:ascii="方正小标宋简体" w:hAnsi="方正小标宋简体" w:eastAsia="方正小标宋简体" w:cs="方正小标宋简体"/>
          <w:b w:val="0"/>
          <w:bCs w:val="0"/>
          <w:kern w:val="0"/>
          <w:sz w:val="32"/>
          <w:szCs w:val="32"/>
        </w:rPr>
        <w:t>节  健全完善创新体制机制</w:t>
      </w:r>
      <w:bookmarkEnd w:id="730"/>
      <w:bookmarkEnd w:id="731"/>
      <w:bookmarkEnd w:id="732"/>
      <w:bookmarkEnd w:id="733"/>
      <w:bookmarkEnd w:id="734"/>
    </w:p>
    <w:p w14:paraId="6E1F32FB">
      <w:pPr>
        <w:pStyle w:val="10"/>
        <w:spacing w:line="560" w:lineRule="exact"/>
        <w:ind w:firstLine="633" w:firstLineChars="198"/>
        <w:jc w:val="both"/>
        <w:rPr>
          <w:rFonts w:ascii="黑体" w:hAnsi="黑体" w:eastAsia="黑体"/>
        </w:rPr>
      </w:pPr>
      <w:r>
        <w:rPr>
          <w:rFonts w:hint="eastAsia" w:ascii="Times New Roman" w:hAnsi="Times New Roman" w:eastAsia="仿宋_GB2312" w:cs="Times New Roman"/>
          <w:sz w:val="32"/>
          <w:szCs w:val="32"/>
        </w:rPr>
        <w:t>构建以市场为导向、政府搭平台、企业为主体的创新技术发展机制，完善科技治理体系，加快补齐科技创新体系化发展的短板。建立科技创新统筹协调机制和决策高效、响应快速的管理机制，强化人才、资金、政策、项目等资源要素向创新主体汇聚，着力打造资源配置高效、统筹协调灵活的创新体系。完善息烽经开区政策设计、资源供给机制，引导园区内产业链上下游企业跨学科、跨领域协同攻坚中高端生产技术。瞄准全产业链条发展，完善息烽经开区科技创新企业孵化器机制，推动多元化科技型创新企业成长壮大。鼓励支持龙头企业与科研院校合力攻坚关键领域技术难关，通过“揭榜挂帅”“悬赏制”等方式，进一步激发社会高层次科技企业参与重大科技项目开发。注重市场对技术研发方向和创新要素配置的导向作用，加快形成以政府投入为主、社会多元化投入参与的机制，鼓励引导企业和社会金融机构加大中高端前沿产品研发投入力度，扩大基础性研究资金投入。</w:t>
      </w:r>
      <w:r>
        <w:rPr>
          <w:rFonts w:hint="eastAsia" w:ascii="Times New Roman" w:hAnsi="Times New Roman" w:eastAsia="仿宋_GB2312" w:cs="Times New Roman"/>
          <w:color w:val="000000"/>
          <w:sz w:val="32"/>
          <w:szCs w:val="32"/>
        </w:rPr>
        <w:t>鼓励引导各类创新市场主体在关键领域加强专利申请，加强知识产权保护，不断提升科技成果转化成效，激发企业创新动力和潜能。</w:t>
      </w:r>
      <w:r>
        <w:rPr>
          <w:rFonts w:hint="eastAsia" w:ascii="仿宋_GB2312" w:hAnsi="仿宋_GB2312" w:eastAsia="仿宋_GB2312" w:cs="仿宋_GB2312"/>
          <w:sz w:val="32"/>
          <w:szCs w:val="32"/>
        </w:rPr>
        <w:t>“十四五”期间，全县完成专利申请7</w:t>
      </w:r>
      <w:r>
        <w:rPr>
          <w:rFonts w:ascii="仿宋_GB2312" w:hAnsi="仿宋_GB2312" w:eastAsia="仿宋_GB2312" w:cs="仿宋_GB2312"/>
          <w:sz w:val="32"/>
          <w:szCs w:val="32"/>
        </w:rPr>
        <w:t>60件，其中，发明申请量</w:t>
      </w:r>
      <w:r>
        <w:rPr>
          <w:rFonts w:hint="eastAsia" w:ascii="仿宋_GB2312" w:hAnsi="仿宋_GB2312" w:eastAsia="仿宋_GB2312" w:cs="仿宋_GB2312"/>
          <w:sz w:val="32"/>
          <w:szCs w:val="32"/>
        </w:rPr>
        <w:t>310</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。完善科技成果转化服务能力，实现科技与资本、创新与产业、线上与线下相结合，加快科研创新转化能力，打造产学研用一体的创新链。</w:t>
      </w:r>
    </w:p>
    <w:p w14:paraId="2C58762D">
      <w:pPr>
        <w:pStyle w:val="3"/>
        <w:spacing w:before="312" w:beforeLines="100" w:after="312" w:afterLines="100" w:line="560" w:lineRule="exact"/>
        <w:ind w:firstLine="640"/>
        <w:jc w:val="center"/>
        <w:rPr>
          <w:rFonts w:hint="eastAsia" w:ascii="方正小标宋简体" w:hAnsi="方正小标宋简体" w:eastAsia="方正小标宋简体" w:cs="方正小标宋简体"/>
          <w:sz w:val="36"/>
          <w:szCs w:val="36"/>
        </w:rPr>
      </w:pPr>
      <w:bookmarkStart w:id="735" w:name="_Toc24546"/>
      <w:bookmarkStart w:id="736" w:name="_Toc13297"/>
      <w:bookmarkStart w:id="737" w:name="_Toc28114"/>
      <w:bookmarkStart w:id="738" w:name="_Toc15960"/>
      <w:bookmarkStart w:id="739" w:name="_Toc58580329"/>
      <w:bookmarkStart w:id="740" w:name="_Toc14916"/>
      <w:bookmarkStart w:id="741" w:name="_Toc61193830"/>
      <w:bookmarkStart w:id="742" w:name="_Toc20587"/>
      <w:bookmarkStart w:id="743" w:name="_Toc7779"/>
      <w:bookmarkStart w:id="744" w:name="_Toc32392"/>
    </w:p>
    <w:p w14:paraId="14E79A34">
      <w:pPr>
        <w:pStyle w:val="3"/>
        <w:spacing w:before="312" w:beforeLines="100" w:after="312" w:afterLines="100" w:line="560" w:lineRule="exact"/>
        <w:ind w:firstLine="640"/>
        <w:jc w:val="center"/>
        <w:rPr>
          <w:rFonts w:hint="eastAsia" w:ascii="方正小标宋简体" w:hAnsi="方正小标宋简体" w:eastAsia="方正小标宋简体" w:cs="方正小标宋简体"/>
          <w:sz w:val="36"/>
          <w:szCs w:val="36"/>
        </w:rPr>
      </w:pPr>
    </w:p>
    <w:p w14:paraId="0D696748">
      <w:pPr>
        <w:rPr>
          <w:rFonts w:hint="eastAsia"/>
        </w:rPr>
      </w:pPr>
    </w:p>
    <w:p w14:paraId="0119958E">
      <w:pPr>
        <w:pStyle w:val="3"/>
        <w:spacing w:before="312" w:beforeLines="100" w:after="312" w:afterLines="100" w:line="560" w:lineRule="exact"/>
        <w:ind w:firstLine="640"/>
        <w:jc w:val="center"/>
        <w:rPr>
          <w:rFonts w:hint="eastAsia" w:ascii="方正小标宋简体" w:hAnsi="方正小标宋简体" w:eastAsia="方正小标宋简体" w:cs="方正小标宋简体"/>
          <w:sz w:val="36"/>
          <w:szCs w:val="36"/>
        </w:rPr>
      </w:pPr>
    </w:p>
    <w:p w14:paraId="3AD6EA4E">
      <w:pPr>
        <w:pStyle w:val="3"/>
        <w:spacing w:before="312" w:beforeLines="100" w:after="312" w:afterLines="100" w:line="560" w:lineRule="exact"/>
        <w:ind w:firstLine="640"/>
        <w:jc w:val="center"/>
        <w:rPr>
          <w:rFonts w:hint="eastAsia" w:ascii="方正小标宋简体" w:hAnsi="方正小标宋简体" w:eastAsia="方正小标宋简体" w:cs="方正小标宋简体"/>
          <w:sz w:val="36"/>
          <w:szCs w:val="36"/>
        </w:rPr>
      </w:pPr>
    </w:p>
    <w:p w14:paraId="0F145863">
      <w:pPr>
        <w:pStyle w:val="3"/>
        <w:spacing w:before="312" w:beforeLines="100" w:after="312" w:afterLines="100" w:line="560" w:lineRule="exact"/>
        <w:ind w:firstLine="0"/>
        <w:jc w:val="both"/>
        <w:rPr>
          <w:rFonts w:hint="eastAsia" w:ascii="方正小标宋简体" w:hAnsi="方正小标宋简体" w:eastAsia="方正小标宋简体" w:cs="方正小标宋简体"/>
          <w:sz w:val="36"/>
          <w:szCs w:val="36"/>
        </w:rPr>
      </w:pPr>
    </w:p>
    <w:p w14:paraId="1C08C8EA">
      <w:pPr>
        <w:pStyle w:val="3"/>
        <w:spacing w:before="312" w:beforeLines="100" w:after="312" w:afterLines="100" w:line="560" w:lineRule="exact"/>
        <w:ind w:firstLine="0"/>
        <w:jc w:val="both"/>
        <w:rPr>
          <w:rFonts w:hint="eastAsia" w:ascii="方正小标宋简体" w:hAnsi="方正小标宋简体" w:eastAsia="方正小标宋简体" w:cs="方正小标宋简体"/>
          <w:sz w:val="36"/>
          <w:szCs w:val="36"/>
        </w:rPr>
      </w:pPr>
    </w:p>
    <w:bookmarkEnd w:id="685"/>
    <w:bookmarkEnd w:id="735"/>
    <w:bookmarkEnd w:id="736"/>
    <w:bookmarkEnd w:id="737"/>
    <w:bookmarkEnd w:id="738"/>
    <w:bookmarkEnd w:id="739"/>
    <w:bookmarkEnd w:id="740"/>
    <w:bookmarkEnd w:id="741"/>
    <w:bookmarkEnd w:id="742"/>
    <w:bookmarkEnd w:id="743"/>
    <w:bookmarkEnd w:id="744"/>
    <w:p w14:paraId="62E33ED7">
      <w:pPr>
        <w:adjustRightInd w:val="0"/>
        <w:snapToGrid w:val="0"/>
        <w:spacing w:line="520" w:lineRule="exact"/>
        <w:ind w:firstLine="640" w:firstLineChars="200"/>
        <w:rPr>
          <w:rFonts w:ascii="Times New Roman" w:hAnsi="Times New Roman" w:eastAsia="仿宋_GB2312" w:cs="Times New Roman"/>
          <w:color w:val="000000"/>
          <w:sz w:val="32"/>
          <w:szCs w:val="32"/>
        </w:rPr>
      </w:pPr>
      <w:bookmarkStart w:id="745" w:name="_Toc47098244"/>
      <w:bookmarkStart w:id="746" w:name="_Toc3390"/>
    </w:p>
    <w:p w14:paraId="2D422E51">
      <w:pPr>
        <w:pStyle w:val="10"/>
        <w:rPr>
          <w:rFonts w:ascii="Times New Roman" w:hAnsi="Times New Roman" w:eastAsia="仿宋_GB2312" w:cs="Times New Roman"/>
          <w:color w:val="000000"/>
          <w:sz w:val="32"/>
          <w:szCs w:val="32"/>
        </w:rPr>
      </w:pPr>
    </w:p>
    <w:p w14:paraId="6CCD4C22">
      <w:pPr>
        <w:rPr>
          <w:rFonts w:ascii="Times New Roman" w:hAnsi="Times New Roman" w:eastAsia="仿宋_GB2312" w:cs="Times New Roman"/>
          <w:color w:val="000000"/>
          <w:sz w:val="32"/>
          <w:szCs w:val="32"/>
        </w:rPr>
      </w:pPr>
    </w:p>
    <w:p w14:paraId="666C33F1">
      <w:pPr>
        <w:pStyle w:val="3"/>
        <w:spacing w:before="312" w:beforeLines="100" w:after="312" w:afterLines="100" w:line="560" w:lineRule="exact"/>
        <w:ind w:firstLine="0"/>
        <w:jc w:val="center"/>
        <w:rPr>
          <w:rFonts w:ascii="仿宋_GB2312" w:hAnsi="仿宋_GB2312" w:eastAsia="仿宋_GB2312" w:cs="仿宋_GB2312"/>
          <w:b w:val="0"/>
          <w:bCs w:val="0"/>
          <w:spacing w:val="-6"/>
          <w:sz w:val="32"/>
          <w:szCs w:val="32"/>
        </w:rPr>
      </w:pPr>
      <w:bookmarkStart w:id="747" w:name="_Toc15931"/>
      <w:bookmarkStart w:id="748" w:name="_Toc22928"/>
      <w:bookmarkStart w:id="749" w:name="_Toc9348"/>
      <w:bookmarkStart w:id="750" w:name="_Toc9455"/>
      <w:bookmarkStart w:id="751" w:name="_Toc5880"/>
      <w:bookmarkStart w:id="752" w:name="_Toc27524"/>
      <w:r>
        <w:rPr>
          <w:rFonts w:hint="eastAsia" w:ascii="方正小标宋简体" w:hAnsi="方正小标宋简体" w:eastAsia="方正小标宋简体" w:cs="方正小标宋简体"/>
          <w:b w:val="0"/>
          <w:bCs w:val="0"/>
          <w:spacing w:val="-6"/>
          <w:sz w:val="36"/>
          <w:szCs w:val="36"/>
        </w:rPr>
        <w:t xml:space="preserve">第十二章 </w:t>
      </w:r>
      <w:r>
        <w:rPr>
          <w:rFonts w:ascii="方正小标宋简体" w:hAnsi="方正小标宋简体" w:eastAsia="方正小标宋简体" w:cs="方正小标宋简体"/>
          <w:b w:val="0"/>
          <w:bCs w:val="0"/>
          <w:spacing w:val="-6"/>
          <w:sz w:val="36"/>
          <w:szCs w:val="36"/>
        </w:rPr>
        <w:t xml:space="preserve"> </w:t>
      </w:r>
      <w:r>
        <w:rPr>
          <w:rFonts w:hint="eastAsia" w:ascii="方正小标宋简体" w:hAnsi="方正小标宋简体" w:eastAsia="方正小标宋简体" w:cs="方正小标宋简体"/>
          <w:b w:val="0"/>
          <w:bCs w:val="0"/>
          <w:spacing w:val="-6"/>
          <w:sz w:val="36"/>
          <w:szCs w:val="36"/>
          <w:lang w:val="en-US" w:eastAsia="zh-CN"/>
        </w:rPr>
        <w:t>繁荣文化事业 高质量</w:t>
      </w:r>
      <w:r>
        <w:rPr>
          <w:rFonts w:hint="eastAsia" w:ascii="方正小标宋简体" w:hAnsi="方正小标宋简体" w:eastAsia="方正小标宋简体" w:cs="方正小标宋简体"/>
          <w:b w:val="0"/>
          <w:bCs w:val="0"/>
          <w:spacing w:val="-6"/>
          <w:sz w:val="36"/>
          <w:szCs w:val="36"/>
        </w:rPr>
        <w:t>增强县域文化软实力</w:t>
      </w:r>
      <w:bookmarkEnd w:id="747"/>
      <w:bookmarkEnd w:id="748"/>
      <w:bookmarkEnd w:id="749"/>
      <w:bookmarkEnd w:id="750"/>
      <w:bookmarkEnd w:id="751"/>
      <w:bookmarkEnd w:id="752"/>
    </w:p>
    <w:p w14:paraId="1BF16651">
      <w:pPr>
        <w:tabs>
          <w:tab w:val="left" w:pos="1440"/>
        </w:tabs>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马克思主义在意识形态领域的指导地位，以社会主义核心价值观引领文化建设，围绕“举旗帜、聚民心、育新人、兴文化、展形象”的使命任务，大力弘扬“自强不息、艰苦奋斗、赤胆忠诚、协力争先”的息烽精神，擦亮“红色息烽·氡泉之城”城市品牌，促进满足人民对更高品质更加丰富的精神文化需求和提高自身精神境界相统一。</w:t>
      </w:r>
    </w:p>
    <w:p w14:paraId="76389F1C">
      <w:pPr>
        <w:adjustRightInd w:val="0"/>
        <w:snapToGrid w:val="0"/>
        <w:spacing w:line="560" w:lineRule="exact"/>
        <w:jc w:val="center"/>
        <w:outlineLvl w:val="1"/>
        <w:rPr>
          <w:rFonts w:ascii="Times New Roman" w:hAnsi="Times New Roman" w:eastAsia="楷体_GB2312" w:cs="Times New Roman"/>
          <w:sz w:val="32"/>
          <w:szCs w:val="32"/>
        </w:rPr>
      </w:pPr>
      <w:bookmarkStart w:id="753" w:name="_Toc4416"/>
      <w:bookmarkStart w:id="754" w:name="_Toc10007"/>
      <w:bookmarkStart w:id="755" w:name="_Toc32293"/>
      <w:bookmarkStart w:id="756" w:name="_Toc8993"/>
      <w:bookmarkStart w:id="757" w:name="_Toc28089"/>
      <w:bookmarkStart w:id="758" w:name="_Toc10344"/>
      <w:r>
        <w:rPr>
          <w:rFonts w:hint="eastAsia" w:ascii="方正小标宋简体" w:hAnsi="方正小标宋简体" w:eastAsia="方正小标宋简体" w:cs="方正小标宋简体"/>
          <w:b w:val="0"/>
          <w:bCs w:val="0"/>
          <w:sz w:val="32"/>
          <w:szCs w:val="32"/>
        </w:rPr>
        <w:t>第一节  提高社会文明程度</w:t>
      </w:r>
      <w:bookmarkEnd w:id="753"/>
      <w:bookmarkEnd w:id="754"/>
      <w:bookmarkEnd w:id="755"/>
      <w:bookmarkEnd w:id="756"/>
      <w:bookmarkEnd w:id="757"/>
      <w:bookmarkEnd w:id="758"/>
    </w:p>
    <w:p w14:paraId="52D83AF5">
      <w:pPr>
        <w:tabs>
          <w:tab w:val="left" w:pos="1440"/>
        </w:tabs>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坚持理论武装，深入开展</w:t>
      </w:r>
      <w:r>
        <w:rPr>
          <w:rFonts w:hint="eastAsia" w:ascii="Times New Roman" w:hAnsi="Times New Roman" w:eastAsia="仿宋_GB2312" w:cs="Times New Roman"/>
          <w:sz w:val="32"/>
          <w:szCs w:val="32"/>
          <w:lang w:eastAsia="zh-CN"/>
        </w:rPr>
        <w:t>学习贯彻习近平新时代中国特色社会主义思想主题教育</w:t>
      </w:r>
      <w:r>
        <w:rPr>
          <w:rFonts w:hint="eastAsia" w:ascii="Times New Roman" w:hAnsi="Times New Roman" w:eastAsia="仿宋_GB2312" w:cs="Times New Roman"/>
          <w:sz w:val="32"/>
          <w:szCs w:val="32"/>
        </w:rPr>
        <w:t>，推进马克思主义理论时代化，加强理论学习、宣传普及和研究阐释。推动理想信念教育常态化制度化，大力弘扬社会主义核心价值观，倡导新时代文明风尚、行为规范、思想观念深入人心。加强社会公德、职业道德、家庭美德、个人品德建设，引导人们自觉遵守社会</w:t>
      </w:r>
      <w:r>
        <w:rPr>
          <w:rFonts w:hint="eastAsia" w:ascii="Times New Roman" w:hAnsi="Times New Roman" w:eastAsia="仿宋_GB2312" w:cs="Times New Roman"/>
          <w:sz w:val="32"/>
          <w:szCs w:val="32"/>
          <w:lang w:eastAsia="zh-CN"/>
        </w:rPr>
        <w:t>公序良俗</w:t>
      </w:r>
      <w:r>
        <w:rPr>
          <w:rFonts w:hint="eastAsia" w:ascii="Times New Roman" w:hAnsi="Times New Roman" w:eastAsia="仿宋_GB2312" w:cs="Times New Roman"/>
          <w:sz w:val="32"/>
          <w:szCs w:val="32"/>
        </w:rPr>
        <w:t>。大力推动文明创建工程实施，持续提升巩固省级文明城市创建成果，力争文明城市保牌进位，积极争创国家级文明城市。深入开展文明城市、文明村镇、文明单位、文明家庭、文明校园创建，增强人民群众文明自觉。健全社会服务体系，加强志愿服务引导，推动“我为人人”风气盛行。引导社会舆论导向，净化网络生态，发展积极健康的网络环境，推动网络空间更加“清朗”。</w:t>
      </w:r>
    </w:p>
    <w:p w14:paraId="73E70630">
      <w:pPr>
        <w:adjustRightInd w:val="0"/>
        <w:snapToGrid w:val="0"/>
        <w:spacing w:line="560" w:lineRule="exact"/>
        <w:jc w:val="center"/>
        <w:outlineLvl w:val="1"/>
        <w:rPr>
          <w:rFonts w:ascii="方正小标宋简体" w:hAnsi="方正小标宋简体" w:eastAsia="方正小标宋简体" w:cs="方正小标宋简体"/>
          <w:b w:val="0"/>
          <w:bCs w:val="0"/>
          <w:sz w:val="32"/>
          <w:szCs w:val="32"/>
        </w:rPr>
      </w:pPr>
      <w:bookmarkStart w:id="759" w:name="_Toc29575"/>
      <w:bookmarkStart w:id="760" w:name="_Toc32142"/>
      <w:bookmarkStart w:id="761" w:name="_Toc2729"/>
      <w:bookmarkStart w:id="762" w:name="_Toc26919"/>
      <w:bookmarkStart w:id="763" w:name="_Toc10776"/>
      <w:bookmarkStart w:id="764" w:name="_Toc18608"/>
      <w:r>
        <w:rPr>
          <w:rFonts w:hint="eastAsia" w:ascii="方正小标宋简体" w:hAnsi="方正小标宋简体" w:eastAsia="方正小标宋简体" w:cs="方正小标宋简体"/>
          <w:b w:val="0"/>
          <w:bCs w:val="0"/>
          <w:sz w:val="32"/>
          <w:szCs w:val="32"/>
        </w:rPr>
        <w:t>第二节  推进红色文化传承创新</w:t>
      </w:r>
      <w:bookmarkEnd w:id="759"/>
      <w:bookmarkEnd w:id="760"/>
      <w:bookmarkEnd w:id="761"/>
      <w:bookmarkEnd w:id="762"/>
      <w:bookmarkEnd w:id="763"/>
      <w:bookmarkEnd w:id="764"/>
    </w:p>
    <w:p w14:paraId="45B38B64">
      <w:pPr>
        <w:tabs>
          <w:tab w:val="left" w:pos="1440"/>
        </w:tabs>
        <w:adjustRightInd w:val="0"/>
        <w:snapToGrid w:val="0"/>
        <w:spacing w:line="560" w:lineRule="exact"/>
        <w:ind w:firstLine="640" w:firstLineChars="200"/>
        <w:rPr>
          <w:rFonts w:eastAsia="仿宋_GB2312"/>
        </w:rPr>
      </w:pPr>
      <w:r>
        <w:rPr>
          <w:rFonts w:hint="eastAsia" w:ascii="仿宋_GB2312" w:hAnsi="仿宋" w:eastAsia="仿宋_GB2312"/>
          <w:sz w:val="32"/>
          <w:szCs w:val="32"/>
        </w:rPr>
        <w:t>摸清我县红色文化资源底数、分布区域和资源级别，</w:t>
      </w:r>
      <w:r>
        <w:rPr>
          <w:rFonts w:hint="eastAsia" w:ascii="Times New Roman" w:hAnsi="Times New Roman" w:eastAsia="仿宋_GB2312" w:cs="Times New Roman"/>
          <w:color w:val="333333"/>
          <w:sz w:val="32"/>
          <w:szCs w:val="32"/>
          <w:shd w:val="clear" w:color="auto" w:fill="FFFFFF"/>
        </w:rPr>
        <w:t>完善红色资源保护体系，深入挖掘红色优秀传统文化资源，</w:t>
      </w:r>
      <w:r>
        <w:rPr>
          <w:rFonts w:hint="eastAsia" w:ascii="Times New Roman" w:hAnsi="Times New Roman" w:eastAsia="仿宋_GB2312" w:cs="Times New Roman"/>
          <w:sz w:val="32"/>
          <w:szCs w:val="32"/>
        </w:rPr>
        <w:t>加强县域内纪念设施、战斗遗址保护，</w:t>
      </w:r>
      <w:r>
        <w:rPr>
          <w:rFonts w:hint="eastAsia" w:ascii="Times New Roman" w:hAnsi="Times New Roman" w:eastAsia="仿宋_GB2312" w:cs="Times New Roman"/>
          <w:color w:val="333333"/>
          <w:sz w:val="32"/>
          <w:szCs w:val="32"/>
          <w:shd w:val="clear" w:color="auto" w:fill="FFFFFF"/>
        </w:rPr>
        <w:t>打造红色文化保护传承示范点。</w:t>
      </w:r>
      <w:r>
        <w:rPr>
          <w:rFonts w:hint="eastAsia" w:ascii="仿宋_GB2312" w:hAnsi="仿宋_GB2312" w:eastAsia="仿宋_GB2312" w:cs="仿宋_GB2312"/>
          <w:sz w:val="32"/>
          <w:szCs w:val="32"/>
        </w:rPr>
        <w:t>完成县境内抗美抗日等战士以及两参作战退役人员的走访笔录和影像资料，编撰完成息烽县英烈名录。张露萍七烈士陵园升级为国家级烈士陵园。</w:t>
      </w:r>
      <w:r>
        <w:rPr>
          <w:rFonts w:hint="eastAsia" w:ascii="Times New Roman" w:hAnsi="Times New Roman" w:eastAsia="仿宋_GB2312" w:cs="Times New Roman"/>
          <w:color w:val="333333"/>
          <w:sz w:val="32"/>
          <w:szCs w:val="32"/>
          <w:shd w:val="clear" w:color="auto" w:fill="FFFFFF"/>
        </w:rPr>
        <w:t>实施红色经典文化工程，推出一批红色文艺、红色课堂精品，</w:t>
      </w:r>
      <w:r>
        <w:rPr>
          <w:rFonts w:hint="eastAsia" w:ascii="Times New Roman" w:hAnsi="Times New Roman" w:eastAsia="仿宋_GB2312" w:cs="Times New Roman"/>
          <w:sz w:val="32"/>
          <w:szCs w:val="32"/>
        </w:rPr>
        <w:t>着力推动红色基因传承</w:t>
      </w:r>
      <w:r>
        <w:rPr>
          <w:rFonts w:hint="eastAsia" w:ascii="Times New Roman" w:hAnsi="Times New Roman" w:eastAsia="仿宋_GB2312" w:cs="Times New Roman"/>
          <w:color w:val="333333"/>
          <w:sz w:val="32"/>
          <w:szCs w:val="32"/>
          <w:shd w:val="clear" w:color="auto" w:fill="FFFFFF"/>
        </w:rPr>
        <w:t>。加强红色文物和红色档案保护、研究、利用，</w:t>
      </w:r>
      <w:r>
        <w:rPr>
          <w:rFonts w:hint="eastAsia" w:ascii="Times New Roman" w:hAnsi="Times New Roman" w:eastAsia="仿宋_GB2312" w:cs="Times New Roman"/>
          <w:sz w:val="32"/>
          <w:szCs w:val="32"/>
        </w:rPr>
        <w:t>改进展示方式、丰富展示内容，</w:t>
      </w:r>
      <w:r>
        <w:rPr>
          <w:rFonts w:hint="eastAsia" w:ascii="仿宋_GB2312" w:hAnsi="仿宋" w:eastAsia="仿宋_GB2312"/>
          <w:sz w:val="32"/>
          <w:szCs w:val="32"/>
        </w:rPr>
        <w:t>全力打造以息烽县委党校为主课堂、以息烽集中营为主阵地、以县内各红色文化遗址为现场教学点的干部教育产品，</w:t>
      </w:r>
      <w:r>
        <w:rPr>
          <w:rFonts w:hint="eastAsia" w:ascii="Times New Roman" w:hAnsi="Times New Roman" w:eastAsia="仿宋_GB2312" w:cs="Times New Roman"/>
          <w:sz w:val="32"/>
          <w:szCs w:val="32"/>
        </w:rPr>
        <w:t>打造具有息烽红色文化特质的理想信念教育品牌。积极运用现代科技手段和创意理念，打造带有息烽红色印记的文化创意产品，</w:t>
      </w:r>
      <w:r>
        <w:rPr>
          <w:rFonts w:hint="eastAsia" w:ascii="仿宋_GB2312" w:hAnsi="仿宋_GB2312" w:eastAsia="仿宋_GB2312" w:cs="仿宋_GB2312"/>
          <w:sz w:val="32"/>
          <w:szCs w:val="32"/>
        </w:rPr>
        <w:t>开发《红色息烽》全息舞台剧，支持社会机构、文化企业创作“半边天”文化舞台剧等精品红色文化剧目2-3个。</w:t>
      </w:r>
    </w:p>
    <w:p w14:paraId="552B8DDD">
      <w:pPr>
        <w:adjustRightInd w:val="0"/>
        <w:snapToGrid w:val="0"/>
        <w:spacing w:line="560" w:lineRule="exact"/>
        <w:jc w:val="center"/>
        <w:outlineLvl w:val="1"/>
        <w:rPr>
          <w:rFonts w:hint="eastAsia" w:ascii="方正小标宋简体" w:hAnsi="方正小标宋简体" w:eastAsia="方正小标宋简体" w:cs="方正小标宋简体"/>
          <w:b w:val="0"/>
          <w:bCs w:val="0"/>
          <w:sz w:val="32"/>
          <w:szCs w:val="32"/>
        </w:rPr>
      </w:pPr>
      <w:bookmarkStart w:id="765" w:name="_Toc23088"/>
      <w:bookmarkStart w:id="766" w:name="_Toc3192"/>
      <w:bookmarkStart w:id="767" w:name="_Toc13473"/>
      <w:bookmarkStart w:id="768" w:name="_Toc24983"/>
      <w:bookmarkStart w:id="769" w:name="_Toc30292"/>
      <w:bookmarkStart w:id="770" w:name="_Toc4069"/>
      <w:r>
        <w:rPr>
          <w:rFonts w:hint="eastAsia" w:ascii="方正小标宋简体" w:hAnsi="方正小标宋简体" w:eastAsia="方正小标宋简体" w:cs="方正小标宋简体"/>
          <w:b w:val="0"/>
          <w:bCs w:val="0"/>
          <w:sz w:val="32"/>
          <w:szCs w:val="32"/>
        </w:rPr>
        <w:t>第三节  优化城乡文化资源配置</w:t>
      </w:r>
      <w:bookmarkEnd w:id="765"/>
      <w:bookmarkEnd w:id="766"/>
      <w:bookmarkEnd w:id="767"/>
      <w:bookmarkEnd w:id="768"/>
      <w:bookmarkEnd w:id="769"/>
      <w:bookmarkEnd w:id="770"/>
    </w:p>
    <w:p w14:paraId="1B07AF83">
      <w:pPr>
        <w:tabs>
          <w:tab w:val="left" w:pos="144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推进城乡公共文化服务一体化建设，增强农村公共文化服务总量供给，促进城乡文化协调发展。</w:t>
      </w:r>
      <w:r>
        <w:rPr>
          <w:rFonts w:hint="eastAsia" w:ascii="仿宋_GB2312" w:hAnsi="仿宋_GB2312" w:eastAsia="仿宋_GB2312" w:cs="仿宋_GB2312"/>
          <w:sz w:val="32"/>
          <w:szCs w:val="32"/>
        </w:rPr>
        <w:t>完善县、乡镇、村（社区）三级公共文化服务体系，提升161个村级基层综合文化服务中心服务能力，规划选址新建县级图书馆，</w:t>
      </w:r>
      <w:r>
        <w:rPr>
          <w:rFonts w:hint="eastAsia" w:ascii="Times New Roman" w:hAnsi="Times New Roman" w:eastAsia="仿宋_GB2312" w:cs="Times New Roman"/>
          <w:sz w:val="32"/>
          <w:szCs w:val="32"/>
        </w:rPr>
        <w:t>力争县图书馆达一级馆标准，</w:t>
      </w:r>
      <w:r>
        <w:rPr>
          <w:rFonts w:hint="eastAsia" w:ascii="仿宋_GB2312" w:hAnsi="仿宋_GB2312" w:eastAsia="仿宋_GB2312" w:cs="仿宋_GB2312"/>
          <w:sz w:val="32"/>
          <w:szCs w:val="32"/>
        </w:rPr>
        <w:t>提升改造非遗馆，</w:t>
      </w:r>
      <w:r>
        <w:rPr>
          <w:rFonts w:hint="eastAsia" w:ascii="Times New Roman" w:hAnsi="Times New Roman" w:eastAsia="仿宋_GB2312" w:cs="Times New Roman"/>
          <w:sz w:val="32"/>
          <w:szCs w:val="32"/>
        </w:rPr>
        <w:t>推动县级融媒体中心融合发展，推进新时代文明实践中心（所、站）规范建设，着力打造主流舆论阵地、综合服务平台和信息枢纽。实施文化惠民工程，不断创新公共文化服务模式，推进数字化服务，形成线上线下融合互动、立体覆盖的公共服务体系。引导优质文化资源和文化服务更多向农村倾斜，鼓励社会力量积极参与文化建设。</w:t>
      </w:r>
      <w:r>
        <w:rPr>
          <w:rFonts w:hint="eastAsia" w:ascii="仿宋_GB2312" w:hAnsi="仿宋_GB2312" w:eastAsia="仿宋_GB2312" w:cs="仿宋_GB2312"/>
          <w:sz w:val="32"/>
          <w:szCs w:val="32"/>
        </w:rPr>
        <w:t>加快息烽公共文体旅智能云平台建设，创新实施文化惠民工程，发展县域广播电视、文学艺术。加强文物古籍保护、研究和利用，强化重要文化和自然遗产、非物质文化遗产系统性保护。加强民族优秀传统手工艺保护和传承。围绕重要历史节点，创作一批讴歌党、讴歌祖国、讴歌人民、讴歌英雄的现实题材和革命历史题材的文艺精品，推进原创文艺产品创作。鼓励社会力量参与公共文化服务建设、管理、运营，探索政府购买、委托管理、服务外包等多种改革措施，引进公共文化服务的评价机制，提升服务效能。发展壮大注册文化志愿者队伍。公共图书馆藏书人均占有量1.8册，公共文化数字资源总量达25TB，建成图书流通点或图书室30个，组建县级演艺团队2支，文化精品剧目3个。</w:t>
      </w:r>
    </w:p>
    <w:p w14:paraId="74CDE3A9">
      <w:pPr>
        <w:adjustRightInd w:val="0"/>
        <w:snapToGrid w:val="0"/>
        <w:spacing w:line="560" w:lineRule="exact"/>
        <w:jc w:val="center"/>
        <w:outlineLvl w:val="1"/>
        <w:rPr>
          <w:rFonts w:ascii="方正小标宋简体" w:hAnsi="方正小标宋简体" w:eastAsia="方正小标宋简体" w:cs="方正小标宋简体"/>
          <w:b w:val="0"/>
          <w:bCs w:val="0"/>
          <w:sz w:val="32"/>
          <w:szCs w:val="32"/>
        </w:rPr>
      </w:pPr>
      <w:bookmarkStart w:id="771" w:name="_Toc2997"/>
      <w:bookmarkStart w:id="772" w:name="_Toc19017"/>
      <w:bookmarkStart w:id="773" w:name="_Toc28407"/>
      <w:bookmarkStart w:id="774" w:name="_Toc2536"/>
      <w:bookmarkStart w:id="775" w:name="_Toc11290"/>
      <w:bookmarkStart w:id="776" w:name="_Toc18125"/>
      <w:r>
        <w:rPr>
          <w:rFonts w:hint="eastAsia" w:ascii="方正小标宋简体" w:hAnsi="方正小标宋简体" w:eastAsia="方正小标宋简体" w:cs="方正小标宋简体"/>
          <w:b w:val="0"/>
          <w:bCs w:val="0"/>
          <w:sz w:val="32"/>
          <w:szCs w:val="32"/>
        </w:rPr>
        <w:t xml:space="preserve">第四节  </w:t>
      </w:r>
      <w:r>
        <w:rPr>
          <w:rFonts w:ascii="方正小标宋简体" w:hAnsi="方正小标宋简体" w:eastAsia="方正小标宋简体" w:cs="方正小标宋简体"/>
          <w:b w:val="0"/>
          <w:bCs w:val="0"/>
          <w:sz w:val="32"/>
          <w:szCs w:val="32"/>
        </w:rPr>
        <w:t>升级公共文化服务供给</w:t>
      </w:r>
      <w:bookmarkEnd w:id="771"/>
      <w:bookmarkEnd w:id="772"/>
      <w:bookmarkEnd w:id="773"/>
      <w:bookmarkEnd w:id="774"/>
      <w:bookmarkEnd w:id="775"/>
      <w:bookmarkEnd w:id="776"/>
    </w:p>
    <w:p w14:paraId="76A8C1E9">
      <w:pPr>
        <w:adjustRightInd w:val="0"/>
        <w:snapToGrid w:val="0"/>
        <w:spacing w:line="560" w:lineRule="exac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w:t>
      </w:r>
      <w:r>
        <w:rPr>
          <w:rFonts w:ascii="仿宋_GB2312" w:hAnsi="仿宋_GB2312" w:eastAsia="仿宋_GB2312" w:cs="仿宋_GB2312"/>
          <w:color w:val="000000"/>
          <w:kern w:val="0"/>
          <w:sz w:val="31"/>
          <w:szCs w:val="31"/>
        </w:rPr>
        <w:t>推进公共文化设施免费开放工程</w:t>
      </w:r>
      <w:r>
        <w:rPr>
          <w:rFonts w:hint="eastAsia" w:ascii="仿宋_GB2312" w:hAnsi="仿宋_GB2312" w:eastAsia="仿宋_GB2312" w:cs="仿宋_GB2312"/>
          <w:color w:val="000000"/>
          <w:kern w:val="0"/>
          <w:sz w:val="31"/>
          <w:szCs w:val="31"/>
        </w:rPr>
        <w:t>，持续开展</w:t>
      </w:r>
      <w:r>
        <w:rPr>
          <w:rFonts w:ascii="仿宋_GB2312" w:hAnsi="仿宋_GB2312" w:eastAsia="仿宋_GB2312" w:cs="仿宋_GB2312"/>
          <w:color w:val="000000"/>
          <w:kern w:val="0"/>
          <w:sz w:val="31"/>
          <w:szCs w:val="31"/>
        </w:rPr>
        <w:t>图书馆、文化馆、博物馆、乡镇综合文化</w:t>
      </w:r>
      <w:r>
        <w:rPr>
          <w:rFonts w:hint="eastAsia" w:ascii="仿宋_GB2312" w:hAnsi="仿宋_GB2312" w:eastAsia="仿宋_GB2312" w:cs="仿宋_GB2312"/>
          <w:color w:val="000000"/>
          <w:kern w:val="0"/>
          <w:sz w:val="31"/>
          <w:szCs w:val="31"/>
        </w:rPr>
        <w:t>中心</w:t>
      </w:r>
      <w:r>
        <w:rPr>
          <w:rFonts w:ascii="仿宋_GB2312" w:hAnsi="仿宋_GB2312" w:eastAsia="仿宋_GB2312" w:cs="仿宋_GB2312"/>
          <w:color w:val="000000"/>
          <w:kern w:val="0"/>
          <w:sz w:val="31"/>
          <w:szCs w:val="31"/>
        </w:rPr>
        <w:t>等</w:t>
      </w:r>
      <w:r>
        <w:rPr>
          <w:rFonts w:hint="eastAsia" w:ascii="仿宋_GB2312" w:hAnsi="仿宋_GB2312" w:eastAsia="仿宋_GB2312" w:cs="仿宋_GB2312"/>
          <w:color w:val="000000"/>
          <w:kern w:val="0"/>
          <w:sz w:val="31"/>
          <w:szCs w:val="31"/>
        </w:rPr>
        <w:t>免费开放</w:t>
      </w:r>
      <w:r>
        <w:rPr>
          <w:rFonts w:ascii="仿宋_GB2312" w:hAnsi="仿宋_GB2312" w:eastAsia="仿宋_GB2312" w:cs="仿宋_GB2312"/>
          <w:color w:val="000000"/>
          <w:kern w:val="0"/>
          <w:sz w:val="31"/>
          <w:szCs w:val="31"/>
        </w:rPr>
        <w:t>、错时开放。</w:t>
      </w:r>
      <w:r>
        <w:rPr>
          <w:rFonts w:hint="eastAsia" w:ascii="仿宋_GB2312" w:hAnsi="仿宋_GB2312" w:eastAsia="仿宋_GB2312" w:cs="仿宋_GB2312"/>
          <w:color w:val="000000"/>
          <w:kern w:val="0"/>
          <w:sz w:val="31"/>
          <w:szCs w:val="31"/>
        </w:rPr>
        <w:t>每年开展千人规模以上文化活动30场次，乡镇（街道）、村（居）结合实际每年开展文化活动千场以上。</w:t>
      </w:r>
      <w:r>
        <w:rPr>
          <w:rFonts w:ascii="仿宋_GB2312" w:hAnsi="仿宋_GB2312" w:eastAsia="仿宋_GB2312" w:cs="仿宋_GB2312"/>
          <w:color w:val="000000"/>
          <w:kern w:val="0"/>
          <w:sz w:val="31"/>
          <w:szCs w:val="31"/>
        </w:rPr>
        <w:t>每年组织</w:t>
      </w:r>
      <w:r>
        <w:rPr>
          <w:rFonts w:hint="eastAsia" w:ascii="仿宋_GB2312" w:hAnsi="仿宋_GB2312" w:eastAsia="仿宋_GB2312" w:cs="仿宋_GB2312"/>
          <w:color w:val="000000"/>
          <w:kern w:val="0"/>
          <w:sz w:val="31"/>
          <w:szCs w:val="31"/>
        </w:rPr>
        <w:t>文化交流活动4</w:t>
      </w:r>
      <w:r>
        <w:rPr>
          <w:rFonts w:ascii="仿宋_GB2312" w:hAnsi="仿宋_GB2312" w:eastAsia="仿宋_GB2312" w:cs="仿宋_GB2312"/>
          <w:color w:val="000000"/>
          <w:kern w:val="0"/>
          <w:sz w:val="31"/>
          <w:szCs w:val="31"/>
        </w:rPr>
        <w:t>次以上</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流动演出12场以上</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流动展览10场以上。图书馆每年下基层服务次数50次以上，引导全民阅读，推动社会各界参与书香社会建设，深化未成年人读书节、世界读书日、暑期读书月活动。</w:t>
      </w:r>
      <w:r>
        <w:rPr>
          <w:rFonts w:hint="eastAsia" w:ascii="仿宋_GB2312" w:hAnsi="仿宋_GB2312" w:eastAsia="仿宋_GB2312" w:cs="仿宋_GB2312"/>
          <w:color w:val="000000"/>
          <w:kern w:val="0"/>
          <w:sz w:val="31"/>
          <w:szCs w:val="31"/>
        </w:rPr>
        <w:t>继续开展好“我们的节日”</w:t>
      </w:r>
      <w:r>
        <w:rPr>
          <w:rFonts w:ascii="仿宋_GB2312" w:hAnsi="仿宋_GB2312" w:eastAsia="仿宋_GB2312" w:cs="仿宋_GB2312"/>
          <w:color w:val="000000"/>
          <w:kern w:val="0"/>
          <w:sz w:val="31"/>
          <w:szCs w:val="31"/>
        </w:rPr>
        <w:t>等</w:t>
      </w:r>
      <w:r>
        <w:rPr>
          <w:rFonts w:hint="eastAsia" w:ascii="仿宋_GB2312" w:hAnsi="仿宋_GB2312" w:eastAsia="仿宋_GB2312" w:cs="仿宋_GB2312"/>
          <w:color w:val="000000"/>
          <w:kern w:val="0"/>
          <w:sz w:val="31"/>
          <w:szCs w:val="31"/>
        </w:rPr>
        <w:t>传统文化</w:t>
      </w:r>
      <w:r>
        <w:rPr>
          <w:rFonts w:ascii="仿宋_GB2312" w:hAnsi="仿宋_GB2312" w:eastAsia="仿宋_GB2312" w:cs="仿宋_GB2312"/>
          <w:color w:val="000000"/>
          <w:kern w:val="0"/>
          <w:sz w:val="31"/>
          <w:szCs w:val="31"/>
        </w:rPr>
        <w:t>活动</w:t>
      </w:r>
      <w:r>
        <w:rPr>
          <w:rFonts w:hint="eastAsia" w:ascii="仿宋_GB2312" w:hAnsi="仿宋_GB2312" w:eastAsia="仿宋_GB2312" w:cs="仿宋_GB2312"/>
          <w:color w:val="000000"/>
          <w:kern w:val="0"/>
          <w:sz w:val="31"/>
          <w:szCs w:val="31"/>
        </w:rPr>
        <w:t>，持续打造“百龙千鼓”闹新春、红岩葡萄文化节等文化活动品牌</w:t>
      </w:r>
      <w:r>
        <w:rPr>
          <w:rFonts w:ascii="仿宋_GB2312" w:hAnsi="仿宋_GB2312" w:eastAsia="仿宋_GB2312" w:cs="仿宋_GB2312"/>
          <w:color w:val="000000"/>
          <w:kern w:val="0"/>
          <w:sz w:val="31"/>
          <w:szCs w:val="31"/>
        </w:rPr>
        <w:t>。鼓励优秀文化人才和文艺精品创作。加强以文艺家协会、文化馆和民营剧团为重点的文艺精品创作基地建设。推动文学、小品、舞蹈、声乐、摄影、书画、微电影等创作。推进优秀文艺精品参加市级、省级和全国性、国际性平台的展演、交流，推动</w:t>
      </w:r>
      <w:r>
        <w:rPr>
          <w:rFonts w:hint="eastAsia" w:ascii="仿宋_GB2312" w:hAnsi="仿宋_GB2312" w:eastAsia="仿宋_GB2312" w:cs="仿宋_GB2312"/>
          <w:color w:val="000000"/>
          <w:kern w:val="0"/>
          <w:sz w:val="31"/>
          <w:szCs w:val="31"/>
        </w:rPr>
        <w:t>息烽</w:t>
      </w:r>
      <w:r>
        <w:rPr>
          <w:rFonts w:ascii="仿宋_GB2312" w:hAnsi="仿宋_GB2312" w:eastAsia="仿宋_GB2312" w:cs="仿宋_GB2312"/>
          <w:color w:val="000000"/>
          <w:kern w:val="0"/>
          <w:sz w:val="31"/>
          <w:szCs w:val="31"/>
        </w:rPr>
        <w:t>文化走出去。</w:t>
      </w:r>
      <w:r>
        <w:rPr>
          <w:rFonts w:hint="eastAsia" w:ascii="仿宋_GB2312" w:hAnsi="仿宋_GB2312" w:eastAsia="仿宋_GB2312" w:cs="仿宋_GB2312"/>
          <w:color w:val="000000"/>
          <w:kern w:val="0"/>
          <w:sz w:val="31"/>
          <w:szCs w:val="31"/>
        </w:rPr>
        <w:t>持续抓好“智慧广电”建设，加速推进光纤到自然村、光纤入户，全面提升承载能力和服务水平。有线接入网向“光纤化”和“IP 化”全面升级，形成覆盖城乡、便捷高效、功能完备、服务到户的新型广电光纤覆盖体系。拓展“智慧广电”服务新业态。构建智慧广电长效服务体系，助推数字乡村建设发展。推动“智慧广电”与农业、旅游、电商、银行、养老等各行各业深度合作。加快应急广播体系建设，持续推进“统一联网、分级管控”的农村应急广播体系建设。大力推动有线电视4K智能机顶盒应用。</w:t>
      </w:r>
    </w:p>
    <w:p w14:paraId="71F9CD85">
      <w:pPr>
        <w:adjustRightInd w:val="0"/>
        <w:snapToGrid w:val="0"/>
        <w:spacing w:line="560" w:lineRule="exact"/>
        <w:jc w:val="center"/>
        <w:outlineLvl w:val="1"/>
        <w:rPr>
          <w:rFonts w:ascii="方正小标宋简体" w:hAnsi="方正小标宋简体" w:eastAsia="方正小标宋简体" w:cs="方正小标宋简体"/>
          <w:b w:val="0"/>
          <w:bCs w:val="0"/>
          <w:sz w:val="32"/>
          <w:szCs w:val="32"/>
        </w:rPr>
      </w:pPr>
      <w:bookmarkStart w:id="777" w:name="_Toc25026"/>
      <w:bookmarkStart w:id="778" w:name="_Toc24304"/>
      <w:bookmarkStart w:id="779" w:name="_Toc7730"/>
      <w:bookmarkStart w:id="780" w:name="_Toc191"/>
      <w:bookmarkStart w:id="781" w:name="_Toc9584"/>
      <w:bookmarkStart w:id="782" w:name="_Toc32253"/>
      <w:r>
        <w:rPr>
          <w:rFonts w:hint="eastAsia" w:ascii="方正小标宋简体" w:hAnsi="方正小标宋简体" w:eastAsia="方正小标宋简体" w:cs="方正小标宋简体"/>
          <w:b w:val="0"/>
          <w:bCs w:val="0"/>
          <w:sz w:val="32"/>
          <w:szCs w:val="32"/>
        </w:rPr>
        <w:t>第</w:t>
      </w:r>
      <w:r>
        <w:rPr>
          <w:rFonts w:ascii="方正小标宋简体" w:hAnsi="方正小标宋简体" w:eastAsia="方正小标宋简体" w:cs="方正小标宋简体"/>
          <w:b w:val="0"/>
          <w:bCs w:val="0"/>
          <w:sz w:val="32"/>
          <w:szCs w:val="32"/>
        </w:rPr>
        <w:t>五</w:t>
      </w:r>
      <w:r>
        <w:rPr>
          <w:rFonts w:hint="eastAsia" w:ascii="方正小标宋简体" w:hAnsi="方正小标宋简体" w:eastAsia="方正小标宋简体" w:cs="方正小标宋简体"/>
          <w:b w:val="0"/>
          <w:bCs w:val="0"/>
          <w:sz w:val="32"/>
          <w:szCs w:val="32"/>
        </w:rPr>
        <w:t>节</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 xml:space="preserve"> 健全现代文化产业体系</w:t>
      </w:r>
      <w:bookmarkEnd w:id="777"/>
      <w:bookmarkEnd w:id="778"/>
      <w:bookmarkEnd w:id="779"/>
      <w:bookmarkEnd w:id="780"/>
      <w:bookmarkEnd w:id="781"/>
      <w:bookmarkEnd w:id="782"/>
    </w:p>
    <w:p w14:paraId="522E778D">
      <w:pPr>
        <w:adjustRightInd w:val="0"/>
        <w:snapToGrid w:val="0"/>
        <w:spacing w:line="560" w:lineRule="exact"/>
        <w:rPr>
          <w:rFonts w:ascii="仿宋_GB2312" w:hAnsi="仿宋_GB2312" w:eastAsia="仿宋_GB2312" w:cs="仿宋_GB2312"/>
          <w:color w:val="000000"/>
          <w:kern w:val="0"/>
          <w:sz w:val="31"/>
          <w:szCs w:val="31"/>
        </w:rPr>
      </w:pPr>
      <w:r>
        <w:rPr>
          <w:rFonts w:hint="eastAsia" w:ascii="Times New Roman" w:hAnsi="Times New Roman" w:eastAsia="仿宋_GB2312" w:cs="Times New Roman"/>
          <w:color w:val="000000"/>
          <w:sz w:val="32"/>
          <w:szCs w:val="32"/>
        </w:rPr>
        <w:t xml:space="preserve">     </w:t>
      </w:r>
      <w:r>
        <w:rPr>
          <w:rFonts w:hint="eastAsia" w:ascii="仿宋_GB2312" w:hAnsi="仿宋_GB2312" w:eastAsia="仿宋_GB2312" w:cs="仿宋_GB2312"/>
          <w:color w:val="000000"/>
          <w:kern w:val="0"/>
          <w:sz w:val="31"/>
          <w:szCs w:val="31"/>
        </w:rPr>
        <w:t>坚持把社会效益放在首位，深化文化体制改革，完善文化产业规划，加强文化市场体系建设，推动文化产业社会效益和经济效益相统一。</w:t>
      </w:r>
      <w:r>
        <w:rPr>
          <w:rFonts w:hint="eastAsia" w:ascii="仿宋_GB2312" w:hAnsi="仿宋_GB2312" w:eastAsia="仿宋_GB2312" w:cs="仿宋_GB2312"/>
          <w:color w:val="333333"/>
          <w:sz w:val="32"/>
          <w:szCs w:val="32"/>
          <w:shd w:val="clear" w:color="auto" w:fill="FFFFFF"/>
        </w:rPr>
        <w:t>充分发挥红色文化、温泉文化、半边天文化的优势，开发具有息烽特色的文化产品和服务，提升文化影响力和生产力。以文化产业转型升级为突破口，力争到2025年，形成一批文化产业发展新的增长点。启动建设文化产业推广平台，加强县内外文化交流推介，组织参加省内外重要展会。推动正平文化、卓越星创、玄天红魂等重点文化企业提质升级，到2025年末规模以上文化企业达2家以上。牢固树立“文化+”的战略思维，把文化产业上升到创意产业，通过其鲜明的“创新、创造、创意”优势，为文化产业发展提供新思路。开发以贡米、虫茶、猕猴桃等为主的农特创意产品，打造现代农业示范区，推动“文化+农业”发展。把文化发展与“红色息烽.氡泉之城”品牌塑造结合起来，打造一批文旅深度融合的景区、节会活动和旅游商品，推动“文化+旅游”发展。开展山地越野跑、滑翔伞等品牌赛事，推动“文化+体育”发展，以文化引领体育产业发展，以体育产业发展丰富文化内涵。加强商业综合体、特色商业街打造，推动“文化+商贸”发展，打造文化消费综合体。</w:t>
      </w:r>
    </w:p>
    <w:p w14:paraId="61EE8D58">
      <w:pPr>
        <w:pStyle w:val="10"/>
      </w:pPr>
    </w:p>
    <w:p w14:paraId="3DCAF5AB">
      <w:pPr>
        <w:adjustRightInd w:val="0"/>
        <w:snapToGrid w:val="0"/>
        <w:spacing w:line="520" w:lineRule="exact"/>
        <w:ind w:firstLine="640" w:firstLineChars="200"/>
        <w:rPr>
          <w:rFonts w:ascii="Times New Roman" w:hAnsi="Times New Roman" w:eastAsia="仿宋_GB2312" w:cs="Times New Roman"/>
          <w:color w:val="000000"/>
          <w:sz w:val="32"/>
          <w:szCs w:val="32"/>
        </w:rPr>
      </w:pPr>
    </w:p>
    <w:p w14:paraId="5CD65AD7">
      <w:pPr>
        <w:widowControl/>
        <w:snapToGrid w:val="0"/>
        <w:spacing w:line="560" w:lineRule="exact"/>
        <w:ind w:firstLine="688" w:firstLineChars="200"/>
        <w:rPr>
          <w:rFonts w:ascii="仿宋_GB2312" w:hAnsi="仿宋_GB2312" w:eastAsia="仿宋_GB2312" w:cs="仿宋_GB2312"/>
          <w:spacing w:val="12"/>
          <w:kern w:val="0"/>
          <w:sz w:val="32"/>
          <w:szCs w:val="32"/>
          <w:shd w:val="clear" w:color="auto" w:fill="FFFFFF"/>
        </w:rPr>
      </w:pPr>
      <w:r>
        <w:rPr>
          <w:rFonts w:hint="eastAsia" w:ascii="仿宋_GB2312" w:hAnsi="仿宋_GB2312" w:eastAsia="仿宋_GB2312" w:cs="仿宋_GB2312"/>
          <w:spacing w:val="12"/>
          <w:kern w:val="0"/>
          <w:sz w:val="32"/>
          <w:szCs w:val="32"/>
          <w:shd w:val="clear" w:color="auto" w:fill="FFFFFF"/>
        </w:rPr>
        <w:br w:type="page"/>
      </w:r>
    </w:p>
    <w:p w14:paraId="0C32B000">
      <w:pPr>
        <w:pStyle w:val="3"/>
        <w:spacing w:before="312" w:beforeLines="100" w:after="312" w:afterLines="100" w:line="560" w:lineRule="exact"/>
        <w:jc w:val="center"/>
        <w:rPr>
          <w:b w:val="0"/>
          <w:bCs w:val="0"/>
        </w:rPr>
      </w:pPr>
      <w:bookmarkStart w:id="783" w:name="_Toc15682"/>
      <w:bookmarkStart w:id="784" w:name="_Toc12604"/>
      <w:bookmarkStart w:id="785" w:name="_Toc28701"/>
      <w:bookmarkStart w:id="786" w:name="_Toc14396"/>
      <w:bookmarkStart w:id="787" w:name="_Toc5761"/>
      <w:bookmarkStart w:id="788" w:name="_Toc24135"/>
      <w:bookmarkStart w:id="789" w:name="_Toc24356"/>
      <w:bookmarkStart w:id="790" w:name="_Toc13803"/>
      <w:bookmarkStart w:id="791" w:name="_Toc25380"/>
      <w:bookmarkStart w:id="792" w:name="_Toc23793"/>
      <w:bookmarkStart w:id="793" w:name="_Toc58580335"/>
      <w:bookmarkStart w:id="794" w:name="_Toc6991"/>
      <w:bookmarkStart w:id="795" w:name="_Toc12086"/>
      <w:bookmarkStart w:id="796" w:name="_Toc61193831"/>
      <w:bookmarkStart w:id="797" w:name="_Toc5030"/>
      <w:bookmarkStart w:id="798" w:name="_Toc6128"/>
      <w:r>
        <w:rPr>
          <w:rFonts w:hint="eastAsia" w:ascii="方正小标宋简体" w:hAnsi="方正小标宋简体" w:eastAsia="方正小标宋简体" w:cs="方正小标宋简体"/>
          <w:b w:val="0"/>
          <w:bCs w:val="0"/>
          <w:sz w:val="36"/>
          <w:szCs w:val="36"/>
        </w:rPr>
        <w:t>第十三章</w:t>
      </w:r>
      <w:r>
        <w:rPr>
          <w:rFonts w:ascii="方正小标宋简体" w:hAnsi="方正小标宋简体" w:eastAsia="方正小标宋简体" w:cs="方正小标宋简体"/>
          <w:b w:val="0"/>
          <w:bCs w:val="0"/>
          <w:sz w:val="36"/>
          <w:szCs w:val="36"/>
        </w:rPr>
        <w:t xml:space="preserve">  </w:t>
      </w:r>
      <w:r>
        <w:rPr>
          <w:rFonts w:hint="eastAsia" w:ascii="方正小标宋简体" w:hAnsi="方正小标宋简体" w:eastAsia="方正小标宋简体" w:cs="方正小标宋简体"/>
          <w:b w:val="0"/>
          <w:bCs w:val="0"/>
          <w:sz w:val="36"/>
          <w:szCs w:val="36"/>
        </w:rPr>
        <w:t>坚持以人民为中心</w:t>
      </w:r>
      <w:r>
        <w:rPr>
          <w:rFonts w:hint="eastAsia" w:ascii="方正小标宋简体" w:hAnsi="方正小标宋简体" w:eastAsia="方正小标宋简体" w:cs="方正小标宋简体"/>
          <w:b w:val="0"/>
          <w:bCs w:val="0"/>
          <w:sz w:val="36"/>
          <w:szCs w:val="36"/>
          <w:lang w:val="en-US" w:eastAsia="zh-CN"/>
        </w:rPr>
        <w:t xml:space="preserve">  高质量</w:t>
      </w:r>
      <w:r>
        <w:rPr>
          <w:rFonts w:hint="eastAsia" w:ascii="方正小标宋简体" w:hAnsi="方正小标宋简体" w:eastAsia="方正小标宋简体" w:cs="方正小标宋简体"/>
          <w:b w:val="0"/>
          <w:bCs w:val="0"/>
          <w:sz w:val="36"/>
          <w:szCs w:val="36"/>
        </w:rPr>
        <w:t>提升人民群众生活品质</w:t>
      </w:r>
      <w:bookmarkEnd w:id="745"/>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52064F89">
      <w:pPr>
        <w:tabs>
          <w:tab w:val="left" w:pos="1440"/>
        </w:tabs>
        <w:adjustRightInd w:val="0"/>
        <w:snapToGrid w:val="0"/>
        <w:spacing w:line="520" w:lineRule="exact"/>
        <w:ind w:firstLine="640" w:firstLineChars="200"/>
        <w:rPr>
          <w:rFonts w:ascii="Times New Roman" w:hAnsi="Times New Roman" w:eastAsia="仿宋_GB2312" w:cs="Times New Roman"/>
          <w:sz w:val="32"/>
          <w:szCs w:val="32"/>
        </w:rPr>
      </w:pPr>
      <w:bookmarkStart w:id="799" w:name="_Toc47098266"/>
      <w:r>
        <w:rPr>
          <w:rFonts w:hint="eastAsia" w:ascii="Times New Roman" w:hAnsi="Times New Roman" w:eastAsia="仿宋_GB2312" w:cs="Times New Roman"/>
          <w:sz w:val="32"/>
          <w:szCs w:val="32"/>
        </w:rPr>
        <w:t>坚持把实现好、维护好、发展好最广大人民根本利益作为发展的出发点和落脚点，加强普惠性、基础性、兜底性民生建设，健全基本公共服务体系，完善共建共治共享的社会治理制度，积极办好民生实事，不断增强人民群众获得感、幸福感、安全感，推动共同富裕。</w:t>
      </w:r>
    </w:p>
    <w:p w14:paraId="0AF5B134">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800" w:name="_Toc25696"/>
      <w:bookmarkStart w:id="801" w:name="_Toc30737"/>
      <w:bookmarkStart w:id="802" w:name="_Toc23106"/>
      <w:bookmarkStart w:id="803" w:name="_Toc2955"/>
      <w:bookmarkStart w:id="804" w:name="_Toc26713"/>
      <w:bookmarkStart w:id="805" w:name="_Toc21769"/>
      <w:bookmarkStart w:id="806" w:name="_Toc12008"/>
      <w:bookmarkStart w:id="807" w:name="_Toc5661"/>
      <w:bookmarkStart w:id="808" w:name="_Toc19776"/>
      <w:bookmarkStart w:id="809" w:name="_Toc61193832"/>
      <w:bookmarkStart w:id="810" w:name="_Toc29738"/>
      <w:bookmarkStart w:id="811" w:name="_Toc26050"/>
      <w:bookmarkStart w:id="812" w:name="_Toc15412"/>
      <w:bookmarkStart w:id="813" w:name="_Toc58580336"/>
      <w:bookmarkStart w:id="814" w:name="_Toc3235"/>
      <w:bookmarkStart w:id="815" w:name="_Toc49344425"/>
      <w:bookmarkStart w:id="816" w:name="_Toc17794"/>
      <w:r>
        <w:rPr>
          <w:rFonts w:hint="eastAsia" w:ascii="方正小标宋简体" w:hAnsi="方正小标宋简体" w:eastAsia="方正小标宋简体" w:cs="方正小标宋简体"/>
          <w:b w:val="0"/>
          <w:bCs w:val="0"/>
          <w:kern w:val="0"/>
        </w:rPr>
        <w:t>第一节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强化就业优先政策</w:t>
      </w:r>
      <w:bookmarkEnd w:id="800"/>
      <w:bookmarkEnd w:id="801"/>
      <w:bookmarkEnd w:id="802"/>
      <w:bookmarkEnd w:id="803"/>
      <w:bookmarkEnd w:id="804"/>
      <w:bookmarkEnd w:id="805"/>
      <w:bookmarkEnd w:id="806"/>
      <w:bookmarkEnd w:id="807"/>
      <w:bookmarkEnd w:id="808"/>
      <w:bookmarkEnd w:id="809"/>
      <w:bookmarkEnd w:id="810"/>
      <w:bookmarkEnd w:id="811"/>
      <w:bookmarkEnd w:id="812"/>
    </w:p>
    <w:p w14:paraId="2DA9B68D">
      <w:pPr>
        <w:snapToGrid w:val="0"/>
        <w:spacing w:line="560" w:lineRule="exact"/>
        <w:ind w:firstLine="643" w:firstLineChars="200"/>
        <w:rPr>
          <w:rFonts w:ascii="仿宋_GB2312" w:hAnsi="仿宋_GB2312" w:eastAsia="仿宋_GB2312" w:cs="仿宋_GB2312"/>
          <w:sz w:val="32"/>
          <w:szCs w:val="32"/>
          <w:highlight w:val="none"/>
        </w:rPr>
      </w:pPr>
      <w:r>
        <w:rPr>
          <w:rFonts w:hint="eastAsia" w:ascii="黑体" w:hAnsi="黑体" w:eastAsia="黑体"/>
          <w:b/>
          <w:bCs/>
          <w:sz w:val="32"/>
          <w:szCs w:val="32"/>
        </w:rPr>
        <w:t>建立完善就业创业促进机制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highlight w:val="none"/>
        </w:rPr>
        <w:t>不断强化政策落实，稳岗和扩就业并举，努力确保就业大局稳定。</w:t>
      </w:r>
      <w:r>
        <w:rPr>
          <w:rFonts w:hint="eastAsia" w:ascii="仿宋_GB2312" w:hAnsi="仿宋_GB2312" w:eastAsia="仿宋_GB2312" w:cs="仿宋_GB2312"/>
          <w:b/>
          <w:bCs/>
          <w:sz w:val="32"/>
          <w:szCs w:val="32"/>
          <w:highlight w:val="none"/>
        </w:rPr>
        <w:t>一是千方百计稳定和扩大就业。</w:t>
      </w:r>
      <w:r>
        <w:rPr>
          <w:rFonts w:hint="eastAsia" w:ascii="仿宋_GB2312" w:hAnsi="仿宋_GB2312" w:eastAsia="仿宋_GB2312" w:cs="仿宋_GB2312"/>
          <w:sz w:val="32"/>
          <w:szCs w:val="32"/>
          <w:highlight w:val="none"/>
        </w:rPr>
        <w:t>用好用足社会保险补贴、吸纳就业补贴、培训补贴等政策，综合发力帮助企业稳定就业存量。积极落实各项就业创业扶持政策，围绕产业带动、支持自主创业、鼓励灵活就业等方面来着力拓宽就业空间。“十四五”期间累计实现城镇新增就业3.5万人次以上，城镇登记失业率控制在5%以内。</w:t>
      </w:r>
      <w:r>
        <w:rPr>
          <w:rFonts w:hint="eastAsia" w:ascii="仿宋_GB2312" w:hAnsi="仿宋_GB2312" w:eastAsia="仿宋_GB2312" w:cs="仿宋_GB2312"/>
          <w:b/>
          <w:bCs/>
          <w:sz w:val="32"/>
          <w:szCs w:val="32"/>
          <w:highlight w:val="none"/>
        </w:rPr>
        <w:t>二是强化就业措施巩固脱贫攻坚成果。</w:t>
      </w:r>
      <w:r>
        <w:rPr>
          <w:rFonts w:hint="eastAsia" w:ascii="仿宋_GB2312" w:hAnsi="仿宋_GB2312" w:eastAsia="仿宋_GB2312" w:cs="仿宋_GB2312"/>
          <w:sz w:val="32"/>
          <w:szCs w:val="32"/>
          <w:highlight w:val="none"/>
        </w:rPr>
        <w:t>落实各项扶持政策鼓励县内企业吸纳贫困劳动力和易地扶贫搬迁劳动力就业；引进劳务派遣公司，有组织、有方向性的开展劳务输出；建立岗位数据库，多种方式开展就业推荐活动。</w:t>
      </w:r>
      <w:r>
        <w:rPr>
          <w:rFonts w:hint="eastAsia" w:ascii="仿宋_GB2312" w:hAnsi="仿宋_GB2312" w:eastAsia="仿宋_GB2312" w:cs="仿宋_GB2312"/>
          <w:b/>
          <w:bCs/>
          <w:sz w:val="32"/>
          <w:szCs w:val="32"/>
          <w:highlight w:val="none"/>
        </w:rPr>
        <w:t>三是持续抓好重点群体就业。</w:t>
      </w:r>
      <w:r>
        <w:rPr>
          <w:rFonts w:hint="eastAsia" w:ascii="仿宋_GB2312" w:hAnsi="仿宋_GB2312" w:eastAsia="仿宋_GB2312" w:cs="仿宋_GB2312"/>
          <w:sz w:val="32"/>
          <w:szCs w:val="32"/>
          <w:highlight w:val="none"/>
        </w:rPr>
        <w:t>落实创业担保贷款、自主创业补贴、创业场所租赁补贴等资金政策，助力复员退伍军人、戒毒康复人员、农民工等重点群体创业就业；大力推进就业见习单位认定工作，积极落实就业见习补贴，助力高校毕业生实现就业。累计新增创业担保贷款1.2亿元，实现复员退伍军人服务覆盖率100%、戒毒康复人员阳光助业驿站平台服务覆盖率100%、高校毕业生就业创业率95%。</w:t>
      </w:r>
    </w:p>
    <w:p w14:paraId="7F1C5142">
      <w:pPr>
        <w:snapToGrid w:val="0"/>
        <w:spacing w:line="560" w:lineRule="exact"/>
        <w:ind w:firstLine="643" w:firstLineChars="200"/>
        <w:rPr>
          <w:rFonts w:ascii="仿宋_GB2312" w:hAnsi="仿宋_GB2312" w:eastAsia="仿宋_GB2312" w:cs="仿宋_GB2312"/>
          <w:bCs/>
          <w:sz w:val="32"/>
          <w:szCs w:val="32"/>
          <w:highlight w:val="none"/>
        </w:rPr>
      </w:pPr>
      <w:r>
        <w:rPr>
          <w:rFonts w:hint="eastAsia" w:ascii="黑体" w:hAnsi="黑体" w:eastAsia="黑体"/>
          <w:b/>
          <w:bCs/>
          <w:sz w:val="32"/>
          <w:szCs w:val="32"/>
          <w:highlight w:val="none"/>
        </w:rPr>
        <w:t>推进全民创业、万众创新。</w:t>
      </w:r>
      <w:r>
        <w:rPr>
          <w:rFonts w:hint="eastAsia" w:ascii="仿宋_GB2312" w:hAnsi="仿宋_GB2312" w:eastAsia="仿宋_GB2312" w:cs="仿宋_GB2312"/>
          <w:bCs/>
          <w:sz w:val="32"/>
          <w:szCs w:val="32"/>
          <w:highlight w:val="none"/>
        </w:rPr>
        <w:t>以技能培训提升全县就业水平。大力开展农民全员培训、企业职工技能提升培训。开展</w:t>
      </w:r>
      <w:r>
        <w:rPr>
          <w:rFonts w:hint="eastAsia" w:ascii="仿宋_GB2312" w:hAnsi="仿宋_GB2312" w:eastAsia="仿宋_GB2312" w:cs="仿宋_GB2312"/>
          <w:bCs/>
          <w:sz w:val="32"/>
          <w:szCs w:val="32"/>
          <w:highlight w:val="none"/>
          <w:lang w:val="en-US" w:eastAsia="zh-CN"/>
        </w:rPr>
        <w:t>技能</w:t>
      </w:r>
      <w:r>
        <w:rPr>
          <w:rFonts w:hint="eastAsia" w:ascii="仿宋_GB2312" w:hAnsi="仿宋_GB2312" w:eastAsia="仿宋_GB2312" w:cs="仿宋_GB2312"/>
          <w:bCs/>
          <w:sz w:val="32"/>
          <w:szCs w:val="32"/>
          <w:highlight w:val="none"/>
        </w:rPr>
        <w:t>培训1.25万人次</w:t>
      </w:r>
      <w:bookmarkStart w:id="817" w:name="_Toc28854701"/>
      <w:bookmarkStart w:id="818" w:name="_Toc28854700"/>
      <w:bookmarkStart w:id="819" w:name="_Toc450051377"/>
      <w:r>
        <w:rPr>
          <w:rFonts w:hint="eastAsia" w:ascii="仿宋_GB2312" w:hAnsi="仿宋_GB2312" w:eastAsia="仿宋_GB2312" w:cs="仿宋_GB2312"/>
          <w:bCs/>
          <w:sz w:val="32"/>
          <w:szCs w:val="32"/>
          <w:highlight w:val="none"/>
        </w:rPr>
        <w:t>、企业职工技能培训0.5万人次。</w:t>
      </w:r>
      <w:bookmarkEnd w:id="817"/>
      <w:bookmarkEnd w:id="818"/>
      <w:bookmarkEnd w:id="819"/>
      <w:r>
        <w:rPr>
          <w:rFonts w:hint="eastAsia" w:ascii="仿宋_GB2312" w:hAnsi="仿宋_GB2312" w:eastAsia="仿宋_GB2312" w:cs="仿宋_GB2312"/>
          <w:bCs/>
          <w:sz w:val="32"/>
          <w:szCs w:val="32"/>
          <w:highlight w:val="none"/>
        </w:rPr>
        <w:t>以促进创业带动城乡多元就业。围绕创业基地建设、举办创业大赛等，强化创业环境建设，营造良好创业氛围，促进就业带动创业。</w:t>
      </w:r>
      <w:r>
        <w:rPr>
          <w:rFonts w:hint="eastAsia" w:ascii="仿宋_GB2312" w:hAnsi="仿宋_GB2312" w:eastAsia="仿宋_GB2312" w:cs="仿宋_GB2312"/>
          <w:sz w:val="32"/>
          <w:szCs w:val="32"/>
          <w:highlight w:val="none"/>
        </w:rPr>
        <w:t>强化社保费阶段性减免、失业保险稳岗返还、就业补贴等政策落地落实，加大县内各类创业实体帮扶，支持其稳定发展。鼓励单位吸纳就业，对企业招用建档立卡贫困人口、登记失业半年以上人员和自主就业退役士兵就业，</w:t>
      </w:r>
      <w:r>
        <w:rPr>
          <w:rFonts w:ascii="仿宋_GB2312" w:hAnsi="仿宋_GB2312" w:eastAsia="仿宋_GB2312" w:cs="仿宋_GB2312"/>
          <w:sz w:val="32"/>
          <w:szCs w:val="32"/>
          <w:highlight w:val="none"/>
        </w:rPr>
        <w:t>3年内按规定给予税费减免。</w:t>
      </w:r>
      <w:r>
        <w:rPr>
          <w:rFonts w:hint="eastAsia" w:ascii="仿宋_GB2312" w:hAnsi="仿宋_GB2312" w:eastAsia="仿宋_GB2312" w:cs="仿宋_GB2312"/>
          <w:sz w:val="32"/>
          <w:szCs w:val="32"/>
          <w:highlight w:val="none"/>
        </w:rPr>
        <w:t>建设省级农民工创业示范点1个，县级农民工创业示范点2个。</w:t>
      </w:r>
      <w:r>
        <w:rPr>
          <w:rFonts w:hint="eastAsia" w:ascii="仿宋_GB2312" w:hAnsi="仿宋_GB2312" w:eastAsia="仿宋_GB2312" w:cs="仿宋_GB2312"/>
          <w:bCs/>
          <w:sz w:val="32"/>
          <w:szCs w:val="32"/>
          <w:highlight w:val="none"/>
        </w:rPr>
        <w:t>立足产业带动、外部转移，</w:t>
      </w:r>
      <w:r>
        <w:rPr>
          <w:rFonts w:hint="eastAsia" w:ascii="仿宋_GB2312" w:hAnsi="仿宋_GB2312" w:eastAsia="仿宋_GB2312" w:cs="仿宋_GB2312"/>
          <w:sz w:val="32"/>
          <w:szCs w:val="32"/>
          <w:highlight w:val="none"/>
        </w:rPr>
        <w:t>实现农村劳动力转移3.49万人。</w:t>
      </w:r>
    </w:p>
    <w:p w14:paraId="3F688E32">
      <w:pPr>
        <w:snapToGrid w:val="0"/>
        <w:spacing w:line="560" w:lineRule="exact"/>
        <w:ind w:firstLine="643" w:firstLineChars="200"/>
        <w:rPr>
          <w:rFonts w:ascii="仿宋_GB2312" w:hAnsi="仿宋_GB2312" w:eastAsia="仿宋_GB2312" w:cs="仿宋_GB2312"/>
          <w:sz w:val="32"/>
          <w:szCs w:val="32"/>
          <w:highlight w:val="yellow"/>
        </w:rPr>
      </w:pPr>
      <w:r>
        <w:rPr>
          <w:rFonts w:hint="eastAsia" w:ascii="黑体" w:hAnsi="黑体" w:eastAsia="黑体"/>
          <w:b/>
          <w:bCs/>
          <w:sz w:val="32"/>
          <w:szCs w:val="32"/>
          <w:highlight w:val="none"/>
        </w:rPr>
        <w:t>构建和谐劳动关系。</w:t>
      </w:r>
      <w:r>
        <w:rPr>
          <w:rFonts w:hint="eastAsia" w:ascii="仿宋_GB2312" w:hAnsi="仿宋_GB2312" w:eastAsia="仿宋_GB2312" w:cs="仿宋_GB2312"/>
          <w:sz w:val="32"/>
          <w:szCs w:val="32"/>
          <w:highlight w:val="none"/>
        </w:rPr>
        <w:t>健全劳动关系治理体制，创新劳动关系协调、劳动纠纷调处和劳动监察执法体制，加快形成源头治理、动态管理、应急处置相结合的工作机制，建立规范有序、公正合理、互利共赢、和谐稳定劳动关系。实现保障农民工工资支付八项制度全覆盖。劳动保障监察举报投诉案件法定期限内结案率达到96%以上</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sz w:val="32"/>
          <w:szCs w:val="32"/>
        </w:rPr>
        <w:t>指导用人单位依法用工。完善劳动人事争议调解仲裁机制，进一步提升劳动人事争议案件调解成功率与结案率</w:t>
      </w:r>
      <w:r>
        <w:rPr>
          <w:rFonts w:hint="eastAsia" w:ascii="仿宋_GB2312" w:hAnsi="仿宋_GB2312" w:eastAsia="仿宋_GB2312" w:cs="仿宋_GB2312"/>
          <w:sz w:val="32"/>
          <w:szCs w:val="32"/>
        </w:rPr>
        <w:t>，</w:t>
      </w:r>
      <w:r>
        <w:rPr>
          <w:rFonts w:ascii="仿宋_GB2312" w:hAnsi="仿宋_GB2312" w:eastAsia="仿宋_GB2312" w:cs="仿宋_GB2312"/>
          <w:kern w:val="0"/>
          <w:sz w:val="32"/>
          <w:szCs w:val="32"/>
        </w:rPr>
        <w:t>劳动人事争议仲裁法定期限内结案率达到100%。</w:t>
      </w:r>
    </w:p>
    <w:p w14:paraId="58051080">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820" w:name="_Toc23491"/>
      <w:bookmarkStart w:id="821" w:name="_Toc30465"/>
      <w:bookmarkStart w:id="822" w:name="_Toc11792"/>
      <w:bookmarkStart w:id="823" w:name="_Toc19860"/>
      <w:bookmarkStart w:id="824" w:name="_Toc30127"/>
      <w:bookmarkStart w:id="825" w:name="_Toc2736"/>
      <w:bookmarkStart w:id="826" w:name="_Toc13460"/>
      <w:bookmarkStart w:id="827" w:name="_Toc9668"/>
      <w:bookmarkStart w:id="828" w:name="_Toc29351"/>
      <w:bookmarkStart w:id="829" w:name="_Toc8417"/>
      <w:bookmarkStart w:id="830" w:name="_Toc12982"/>
      <w:bookmarkStart w:id="831" w:name="_Toc5989"/>
      <w:bookmarkStart w:id="832" w:name="_Toc61193833"/>
      <w:r>
        <w:rPr>
          <w:rFonts w:hint="eastAsia" w:ascii="方正小标宋简体" w:hAnsi="方正小标宋简体" w:eastAsia="方正小标宋简体" w:cs="方正小标宋简体"/>
          <w:b w:val="0"/>
          <w:bCs w:val="0"/>
          <w:kern w:val="0"/>
        </w:rPr>
        <w:t>第二节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坚持教育优先发展</w:t>
      </w:r>
      <w:bookmarkEnd w:id="813"/>
      <w:bookmarkEnd w:id="814"/>
      <w:bookmarkEnd w:id="815"/>
      <w:bookmarkEnd w:id="816"/>
      <w:bookmarkEnd w:id="820"/>
      <w:bookmarkEnd w:id="821"/>
      <w:bookmarkEnd w:id="822"/>
      <w:bookmarkEnd w:id="823"/>
      <w:bookmarkEnd w:id="824"/>
      <w:bookmarkEnd w:id="825"/>
      <w:bookmarkEnd w:id="826"/>
      <w:bookmarkEnd w:id="827"/>
      <w:bookmarkEnd w:id="828"/>
      <w:bookmarkEnd w:id="829"/>
      <w:bookmarkEnd w:id="830"/>
      <w:bookmarkEnd w:id="831"/>
      <w:bookmarkEnd w:id="832"/>
    </w:p>
    <w:p w14:paraId="2B4A1D95">
      <w:pPr>
        <w:pStyle w:val="27"/>
        <w:spacing w:line="560" w:lineRule="exact"/>
        <w:ind w:firstLine="640"/>
        <w:rPr>
          <w:rFonts w:ascii="仿宋_GB2312" w:hAnsi="仿宋_GB2312" w:eastAsia="仿宋_GB2312" w:cs="仿宋_GB2312"/>
          <w:sz w:val="32"/>
          <w:szCs w:val="32"/>
        </w:rPr>
      </w:pPr>
      <w:r>
        <w:rPr>
          <w:rFonts w:hint="eastAsia" w:ascii="黑体" w:hAnsi="黑体" w:eastAsia="黑体"/>
          <w:b/>
          <w:bCs/>
          <w:sz w:val="32"/>
          <w:szCs w:val="32"/>
        </w:rPr>
        <w:t>夯实基础</w:t>
      </w:r>
      <w:r>
        <w:rPr>
          <w:rFonts w:hint="eastAsia" w:ascii="仿宋_GB2312" w:hAnsi="仿宋_GB2312" w:eastAsia="仿宋_GB2312" w:cs="仿宋_GB2312"/>
          <w:b/>
          <w:bCs/>
          <w:sz w:val="32"/>
          <w:szCs w:val="32"/>
        </w:rPr>
        <w:t>。</w:t>
      </w:r>
      <w:r>
        <w:rPr>
          <w:rFonts w:hint="eastAsia" w:ascii="Times New Roman" w:hAnsi="Times New Roman" w:eastAsia="仿宋_GB2312" w:cs="Times New Roman"/>
          <w:sz w:val="32"/>
          <w:szCs w:val="32"/>
        </w:rPr>
        <w:t>大力推进城乡教育一体化，纵深推进“教育强县”战略，加快推进教育现代化进程，坚持教育公益性原则，加大教育经费投入，完善教育配套设备设施，促进教育公平。建成高质量教育体系，</w:t>
      </w:r>
      <w:r>
        <w:rPr>
          <w:rFonts w:hint="eastAsia" w:ascii="仿宋_GB2312" w:hAnsi="仿宋_GB2312" w:eastAsia="仿宋_GB2312" w:cs="仿宋_GB2312"/>
          <w:sz w:val="32"/>
          <w:szCs w:val="32"/>
        </w:rPr>
        <w:t>为经济社会发展提供有力人才保障和智力支撑。</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学前教育</w:t>
      </w:r>
      <w:r>
        <w:rPr>
          <w:rFonts w:hint="eastAsia" w:ascii="仿宋_GB2312" w:hAnsi="仿宋_GB2312" w:eastAsia="仿宋_GB2312" w:cs="仿宋_GB2312"/>
          <w:sz w:val="32"/>
          <w:szCs w:val="32"/>
          <w:lang w:eastAsia="zh-CN"/>
        </w:rPr>
        <w:t>普惠</w:t>
      </w:r>
      <w:r>
        <w:rPr>
          <w:rFonts w:hint="eastAsia" w:ascii="仿宋_GB2312" w:hAnsi="仿宋_GB2312" w:eastAsia="仿宋_GB2312" w:cs="仿宋_GB2312"/>
          <w:sz w:val="32"/>
          <w:szCs w:val="32"/>
        </w:rPr>
        <w:t>提质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义务教育优质均衡</w:t>
      </w:r>
      <w:r>
        <w:rPr>
          <w:rFonts w:hint="eastAsia" w:ascii="仿宋_GB2312" w:hAnsi="仿宋_GB2312" w:eastAsia="仿宋_GB2312" w:cs="仿宋_GB2312"/>
          <w:sz w:val="32"/>
          <w:szCs w:val="32"/>
          <w:lang w:eastAsia="zh-CN"/>
        </w:rPr>
        <w:t>和城乡一体化发展</w:t>
      </w:r>
      <w:r>
        <w:rPr>
          <w:rFonts w:hint="eastAsia" w:ascii="仿宋_GB2312" w:hAnsi="仿宋_GB2312" w:eastAsia="仿宋_GB2312" w:cs="仿宋_GB2312"/>
          <w:sz w:val="32"/>
          <w:szCs w:val="32"/>
        </w:rPr>
        <w:t>、高中教育强质创特、职业教育</w:t>
      </w:r>
      <w:r>
        <w:rPr>
          <w:rFonts w:hint="eastAsia" w:ascii="仿宋_GB2312" w:hAnsi="仿宋_GB2312" w:eastAsia="仿宋_GB2312" w:cs="仿宋_GB2312"/>
          <w:sz w:val="32"/>
          <w:szCs w:val="32"/>
          <w:lang w:eastAsia="zh-CN"/>
        </w:rPr>
        <w:t>普职融通、产教融合、校企合作。</w:t>
      </w:r>
      <w:r>
        <w:rPr>
          <w:rFonts w:hint="eastAsia" w:ascii="仿宋_GB2312" w:hAnsi="仿宋_GB2312" w:eastAsia="仿宋_GB2312" w:cs="仿宋_GB2312"/>
          <w:sz w:val="32"/>
          <w:szCs w:val="32"/>
        </w:rPr>
        <w:t>县城新增4所幼儿园，乡镇</w:t>
      </w:r>
      <w:r>
        <w:rPr>
          <w:rFonts w:hint="eastAsia" w:ascii="仿宋_GB2312" w:hAnsi="仿宋_GB2312" w:eastAsia="仿宋_GB2312" w:cs="仿宋_GB2312"/>
          <w:sz w:val="32"/>
          <w:szCs w:val="32"/>
          <w:lang w:eastAsia="zh-CN"/>
        </w:rPr>
        <w:t>新建改扩建幼儿园</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所，增加3240个学位，学前三年毛入园率达到96%</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强化标准化</w:t>
      </w:r>
      <w:r>
        <w:rPr>
          <w:rFonts w:hint="eastAsia" w:ascii="仿宋_GB2312" w:hAnsi="仿宋_GB2312" w:eastAsia="仿宋_GB2312" w:cs="仿宋_GB2312"/>
          <w:sz w:val="32"/>
          <w:szCs w:val="32"/>
          <w:lang w:eastAsia="zh-CN"/>
        </w:rPr>
        <w:t>义务教育</w:t>
      </w:r>
      <w:r>
        <w:rPr>
          <w:rFonts w:hint="eastAsia" w:ascii="仿宋_GB2312" w:hAnsi="仿宋_GB2312" w:eastAsia="仿宋_GB2312" w:cs="仿宋_GB2312"/>
          <w:sz w:val="32"/>
          <w:szCs w:val="32"/>
        </w:rPr>
        <w:t>学校建设，注重学校内涵发展，</w:t>
      </w:r>
      <w:r>
        <w:rPr>
          <w:rFonts w:hint="eastAsia" w:ascii="仿宋_GB2312" w:hAnsi="仿宋_GB2312" w:eastAsia="仿宋_GB2312" w:cs="仿宋_GB2312"/>
          <w:sz w:val="32"/>
          <w:szCs w:val="32"/>
          <w:lang w:eastAsia="zh-CN"/>
        </w:rPr>
        <w:t>县城新建改扩建小学</w:t>
      </w:r>
      <w:r>
        <w:rPr>
          <w:rFonts w:hint="eastAsia" w:ascii="仿宋_GB2312" w:hAnsi="仿宋_GB2312" w:eastAsia="仿宋_GB2312" w:cs="仿宋_GB2312"/>
          <w:sz w:val="32"/>
          <w:szCs w:val="32"/>
          <w:lang w:val="en-US" w:eastAsia="zh-CN"/>
        </w:rPr>
        <w:t>5所，乡镇改扩建小学8所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增加学位</w:t>
      </w:r>
      <w:r>
        <w:rPr>
          <w:rFonts w:hint="eastAsia" w:ascii="仿宋_GB2312" w:hAnsi="仿宋_GB2312" w:eastAsia="仿宋_GB2312" w:cs="仿宋_GB2312"/>
          <w:sz w:val="32"/>
          <w:szCs w:val="32"/>
          <w:lang w:val="en-US" w:eastAsia="zh-CN"/>
        </w:rPr>
        <w:t>4995</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九年义务教育巩固率达到97%以上。建成一中三期工程，</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息烽一中申办为省级二类示范性普通高中，</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乌江复旦</w:t>
      </w:r>
      <w:r>
        <w:rPr>
          <w:rFonts w:hint="eastAsia" w:ascii="仿宋_GB2312" w:hAnsi="仿宋_GB2312" w:eastAsia="仿宋_GB2312" w:cs="仿宋_GB2312"/>
          <w:sz w:val="32"/>
          <w:szCs w:val="32"/>
          <w:lang w:eastAsia="zh-CN"/>
        </w:rPr>
        <w:t>高中学校</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特色高中，</w:t>
      </w:r>
      <w:r>
        <w:rPr>
          <w:rFonts w:hint="eastAsia" w:ascii="仿宋_GB2312" w:hAnsi="仿宋_GB2312" w:eastAsia="仿宋_GB2312" w:cs="仿宋_GB2312"/>
          <w:sz w:val="32"/>
          <w:szCs w:val="32"/>
          <w:lang w:eastAsia="zh-CN"/>
        </w:rPr>
        <w:t>全力提升息烽中等职业学校办学水平</w:t>
      </w:r>
      <w:r>
        <w:rPr>
          <w:rFonts w:hint="eastAsia" w:ascii="仿宋_GB2312" w:hAnsi="仿宋_GB2312" w:eastAsia="仿宋_GB2312" w:cs="仿宋_GB2312"/>
          <w:sz w:val="32"/>
          <w:szCs w:val="32"/>
        </w:rPr>
        <w:t>，高中阶段总学位达9000个，毛入学率达到95.5%以上，全县本科上线率达</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大力引进优质教育资源，提高教育质量和水平，支持和规范民办教育发展，抓好特殊教育，发挥在线教育优势，完善终身学习体系。</w:t>
      </w:r>
    </w:p>
    <w:p w14:paraId="53431EF7">
      <w:pPr>
        <w:pStyle w:val="27"/>
        <w:spacing w:line="560" w:lineRule="exact"/>
        <w:ind w:firstLine="643"/>
        <w:rPr>
          <w:rFonts w:ascii="仿宋_GB2312" w:hAnsi="仿宋_GB2312" w:eastAsia="仿宋_GB2312" w:cs="仿宋_GB2312"/>
          <w:sz w:val="32"/>
          <w:szCs w:val="32"/>
        </w:rPr>
      </w:pPr>
      <w:bookmarkStart w:id="833" w:name="_Toc47098247"/>
      <w:r>
        <w:rPr>
          <w:rFonts w:hint="eastAsia" w:ascii="黑体" w:hAnsi="黑体" w:eastAsia="黑体"/>
          <w:b/>
          <w:bCs/>
          <w:sz w:val="32"/>
          <w:szCs w:val="32"/>
        </w:rPr>
        <w:t>建强队伍</w:t>
      </w:r>
      <w:bookmarkEnd w:id="833"/>
      <w:r>
        <w:rPr>
          <w:rFonts w:hint="eastAsia" w:ascii="黑体" w:hAnsi="黑体" w:eastAsia="黑体"/>
          <w:b/>
          <w:bCs/>
          <w:sz w:val="32"/>
          <w:szCs w:val="32"/>
        </w:rPr>
        <w:t>。</w:t>
      </w:r>
      <w:r>
        <w:rPr>
          <w:rFonts w:hint="eastAsia" w:ascii="仿宋_GB2312" w:hAnsi="仿宋_GB2312" w:eastAsia="仿宋_GB2312" w:cs="仿宋_GB2312"/>
          <w:b w:val="0"/>
          <w:bCs w:val="0"/>
          <w:sz w:val="32"/>
          <w:szCs w:val="32"/>
          <w:lang w:eastAsia="zh-CN"/>
        </w:rPr>
        <w:t>加强教师队伍建设，提升教师教书育人的能力素质。</w:t>
      </w:r>
      <w:r>
        <w:rPr>
          <w:rFonts w:hint="eastAsia" w:ascii="仿宋_GB2312" w:hAnsi="仿宋_GB2312" w:eastAsia="仿宋_GB2312" w:cs="仿宋_GB2312"/>
          <w:sz w:val="32"/>
          <w:szCs w:val="32"/>
        </w:rPr>
        <w:t>引进教育部直属师范院校免费师范生及其他高层次人才</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名以上，新增补充中小学和幼儿园教师4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0名</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农村义务教育阶段学校教师本科以上学历达</w:t>
      </w:r>
      <w:r>
        <w:rPr>
          <w:rFonts w:hint="eastAsia" w:ascii="仿宋_GB2312" w:hAnsi="仿宋_GB2312" w:eastAsia="仿宋_GB2312" w:cs="仿宋_GB2312"/>
          <w:sz w:val="32"/>
          <w:szCs w:val="32"/>
          <w:lang w:val="en-US" w:eastAsia="zh-CN"/>
        </w:rPr>
        <w:t>80%以上，高中阶段专任教师研究生学历达10%以上。加强和改进新时代教研工作，推进中小学学科建设，促进教育高质量发展。</w:t>
      </w:r>
    </w:p>
    <w:p w14:paraId="5EE190E3">
      <w:pPr>
        <w:pStyle w:val="27"/>
        <w:spacing w:line="560" w:lineRule="exact"/>
        <w:ind w:firstLine="643"/>
        <w:rPr>
          <w:rFonts w:ascii="仿宋_GB2312" w:hAnsi="仿宋_GB2312" w:eastAsia="仿宋_GB2312" w:cs="仿宋_GB2312"/>
          <w:sz w:val="32"/>
          <w:szCs w:val="32"/>
        </w:rPr>
      </w:pPr>
      <w:bookmarkStart w:id="834" w:name="_Toc47098248"/>
      <w:r>
        <w:rPr>
          <w:rFonts w:hint="eastAsia" w:ascii="黑体" w:hAnsi="黑体" w:eastAsia="黑体"/>
          <w:b/>
          <w:bCs/>
          <w:sz w:val="32"/>
          <w:szCs w:val="32"/>
        </w:rPr>
        <w:t>提升质量</w:t>
      </w:r>
      <w:bookmarkEnd w:id="834"/>
      <w:r>
        <w:rPr>
          <w:rFonts w:hint="eastAsia" w:ascii="黑体" w:hAnsi="黑体" w:eastAsia="黑体"/>
          <w:b/>
          <w:bCs/>
          <w:sz w:val="32"/>
          <w:szCs w:val="32"/>
        </w:rPr>
        <w:t>。</w:t>
      </w:r>
      <w:r>
        <w:rPr>
          <w:rFonts w:hint="eastAsia" w:ascii="仿宋_GB2312" w:hAnsi="仿宋_GB2312" w:eastAsia="仿宋_GB2312" w:cs="仿宋_GB2312"/>
          <w:sz w:val="32"/>
          <w:szCs w:val="32"/>
        </w:rPr>
        <w:t>坚持“五育并举”“三全育人”（全员全程全方位），坚持德育为先，健全完善立德树人机制，将息烽南山红色研学营地打造成市级德育实践基地，建立10所县级以上德育示范校，10所县级以上文明校园。全面推进素质教育，加大学生身体素质和心理健康教育力度，完善学校体育工作评价机制，开展戏曲进校园活动，乡(镇)中心完小以上学校组建艺术社团，引导学生树立正确劳动观念。实施5G教育大数据一体化工程，实现城乡中小学“数字校园”建设100%全覆盖，建设教育大数据一体化服务平台，变革教学模式，提高课堂教育教学效率。</w:t>
      </w:r>
      <w:r>
        <w:rPr>
          <w:rFonts w:hint="eastAsia" w:ascii="Times New Roman" w:hAnsi="Times New Roman" w:eastAsia="仿宋_GB2312" w:cs="Times New Roman"/>
          <w:sz w:val="32"/>
          <w:szCs w:val="32"/>
        </w:rPr>
        <w:t>巩固脱贫攻坚教育保障成果，强化控辍保学的“双线”管理，落实“七长”负责制，确保义务教育阶段辍学生动态清零。</w:t>
      </w:r>
      <w:r>
        <w:rPr>
          <w:rFonts w:hint="eastAsia" w:ascii="仿宋_GB2312" w:hAnsi="仿宋_GB2312" w:eastAsia="仿宋_GB2312" w:cs="仿宋_GB2312"/>
          <w:sz w:val="32"/>
          <w:szCs w:val="32"/>
        </w:rPr>
        <w:t>实施好学前教育、城乡义务教育家庭经济困难幼儿、学生资助，实施好普通高中、中职、普通高</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学校的国家助学金、国家免学费和贵州省教育精准扶贫政策资助，做到应助尽助。重视青少年身体素质和心理健康教育。</w:t>
      </w:r>
    </w:p>
    <w:p w14:paraId="0DC89830">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835" w:name="_Toc6132"/>
      <w:bookmarkStart w:id="836" w:name="_Toc31673"/>
      <w:bookmarkStart w:id="837" w:name="_Toc2157"/>
      <w:bookmarkStart w:id="838" w:name="_Toc58580338"/>
      <w:bookmarkStart w:id="839" w:name="_Toc13764"/>
      <w:bookmarkStart w:id="840" w:name="_Toc30998"/>
      <w:bookmarkStart w:id="841" w:name="_Toc49344427"/>
      <w:bookmarkStart w:id="842" w:name="_Toc12005"/>
      <w:bookmarkStart w:id="843" w:name="_Toc14001"/>
      <w:bookmarkStart w:id="844" w:name="_Toc61193834"/>
      <w:bookmarkStart w:id="845" w:name="_Toc28124"/>
      <w:bookmarkStart w:id="846" w:name="_Toc14892"/>
      <w:bookmarkStart w:id="847" w:name="_Toc20889"/>
      <w:bookmarkStart w:id="848" w:name="_Toc19394"/>
      <w:bookmarkStart w:id="849" w:name="_Toc11665"/>
      <w:bookmarkStart w:id="850" w:name="_Toc20626"/>
      <w:bookmarkStart w:id="851" w:name="_Toc8973"/>
      <w:r>
        <w:rPr>
          <w:rFonts w:hint="eastAsia" w:ascii="方正小标宋简体" w:hAnsi="方正小标宋简体" w:eastAsia="方正小标宋简体" w:cs="方正小标宋简体"/>
          <w:b w:val="0"/>
          <w:bCs w:val="0"/>
          <w:kern w:val="0"/>
        </w:rPr>
        <w:t>第三节  全面推进健康息烽建设</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0D8D4B1E">
      <w:pPr>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sz w:val="32"/>
          <w:szCs w:val="32"/>
        </w:rPr>
        <w:t>一、补齐公共卫生短板</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快息烽县公共卫生救治中心建设，着力推进县人民医院及中医医院提标改造、县级疾控中心标准化建设，完善县级妇幼卫生健康服务机构建设，持续巩固社区卫生服务中心、乡镇卫生院和村级卫生室标准化建设。完善</w:t>
      </w:r>
      <w:r>
        <w:rPr>
          <w:rFonts w:hint="eastAsia" w:ascii="仿宋_GB2312" w:hAnsi="仿宋_GB2312" w:eastAsia="仿宋_GB2312" w:cs="仿宋_GB2312"/>
          <w:sz w:val="32"/>
          <w:szCs w:val="32"/>
          <w:lang w:eastAsia="zh-CN"/>
        </w:rPr>
        <w:t>传染病疫情防控体系、</w:t>
      </w:r>
      <w:r>
        <w:rPr>
          <w:rFonts w:hint="eastAsia" w:ascii="仿宋_GB2312" w:hAnsi="仿宋_GB2312" w:eastAsia="仿宋_GB2312" w:cs="仿宋_GB2312"/>
          <w:sz w:val="32"/>
          <w:szCs w:val="32"/>
        </w:rPr>
        <w:t>疾病预防控制体系和妇幼保健三级服务网络，加大防疫、妇幼保健基础设施投入，检验检测设备购入，</w:t>
      </w:r>
      <w:r>
        <w:rPr>
          <w:rFonts w:hint="eastAsia" w:ascii="仿宋_GB2312" w:hAnsi="仿宋_GB2312" w:eastAsia="仿宋_GB2312" w:cs="仿宋_GB2312"/>
          <w:kern w:val="0"/>
          <w:sz w:val="32"/>
          <w:szCs w:val="32"/>
        </w:rPr>
        <w:t>完善基础设备配置，提供有效保障。</w:t>
      </w:r>
      <w:r>
        <w:rPr>
          <w:rFonts w:hint="eastAsia" w:ascii="仿宋_GB2312" w:hAnsi="仿宋_GB2312" w:eastAsia="仿宋_GB2312" w:cs="仿宋_GB2312"/>
          <w:sz w:val="32"/>
          <w:szCs w:val="32"/>
        </w:rPr>
        <w:t>实现</w:t>
      </w:r>
      <w:r>
        <w:rPr>
          <w:rFonts w:hint="eastAsia" w:ascii="仿宋_GB2312" w:hAnsi="仿宋_GB2312" w:eastAsia="仿宋_GB2312" w:cs="仿宋_GB2312"/>
          <w:kern w:val="0"/>
          <w:sz w:val="32"/>
          <w:szCs w:val="32"/>
        </w:rPr>
        <w:t>全县每千人口床位数6.5张，每千人口拥有卫生技术人员8人目标，</w:t>
      </w:r>
      <w:r>
        <w:rPr>
          <w:rFonts w:hint="eastAsia" w:ascii="仿宋_GB2312" w:hAnsi="仿宋_GB2312" w:eastAsia="仿宋_GB2312" w:cs="仿宋_GB2312"/>
          <w:sz w:val="32"/>
          <w:szCs w:val="32"/>
        </w:rPr>
        <w:t>继续巩固婴儿死亡率降至7‰以下，5岁以下儿童死亡率和孕产妇死亡率分别降至9‰和18/10万以下成果。</w:t>
      </w:r>
      <w:r>
        <w:rPr>
          <w:rFonts w:hint="eastAsia" w:ascii="仿宋_GB2312" w:hAnsi="仿宋_GB2312" w:eastAsia="仿宋_GB2312" w:cs="仿宋_GB2312"/>
          <w:kern w:val="0"/>
          <w:sz w:val="32"/>
          <w:szCs w:val="32"/>
        </w:rPr>
        <w:t>支持社会力量以名医、名药、名科、名术为服务核心,提供质量上乘的中医（民族医）医疗、养生保健、康养、健康旅游等服务。落实社会办医疗机构在科研、技术职称考评、人才培养等方面与公立医疗机构享受同等待遇的政策。</w:t>
      </w:r>
      <w:bookmarkStart w:id="852" w:name="_Toc47098256"/>
      <w:r>
        <w:rPr>
          <w:rFonts w:hint="eastAsia" w:ascii="仿宋_GB2312" w:hAnsi="仿宋_GB2312" w:eastAsia="仿宋_GB2312" w:cs="仿宋_GB2312"/>
          <w:kern w:val="0"/>
          <w:sz w:val="32"/>
          <w:szCs w:val="32"/>
        </w:rPr>
        <w:t>改善县城公共厕所，重点加强十字街、站前广场、集中营、南山田园综合体等人流密集区域的公共厕所改造、配建补建固定公共厕所或移动式公共厕所，利用节能环保技术配置除臭设施。</w:t>
      </w:r>
    </w:p>
    <w:p w14:paraId="6524BBE0">
      <w:pPr>
        <w:spacing w:line="560" w:lineRule="exact"/>
        <w:ind w:firstLine="643" w:firstLineChars="200"/>
        <w:rPr>
          <w:rFonts w:ascii="仿宋_GB2312" w:hAnsi="仿宋_GB2312" w:eastAsia="仿宋_GB2312" w:cs="仿宋_GB2312"/>
          <w:kern w:val="0"/>
          <w:sz w:val="32"/>
          <w:szCs w:val="32"/>
        </w:rPr>
      </w:pPr>
      <w:r>
        <w:rPr>
          <w:rFonts w:hint="eastAsia" w:ascii="黑体" w:hAnsi="黑体" w:eastAsia="黑体"/>
          <w:b/>
          <w:bCs/>
          <w:sz w:val="32"/>
          <w:szCs w:val="32"/>
        </w:rPr>
        <w:t>二、推进公立医院改革创新</w:t>
      </w:r>
      <w:bookmarkEnd w:id="852"/>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开展现代医院管理制度试点，县中医医院达到省级现代医院管理制度试点指标要求，县人民医院达到国家试点指标要求。推动医保、医药联动改革，继续实施取消药品加成，积极运用药品集中采购和两票制，降低药品、耗材、器械价格，理顺医疗服务价格。积极推进以按病种付费为主的多元复合医保支付方式，2021年底前实施总额预付试点，2025年不少于300种。继续推进县医院、中医院与乡镇卫生院的医疗服务共同体建设。县级医院下转转诊人数逐年增加20%以上。</w:t>
      </w:r>
      <w:r>
        <w:rPr>
          <w:rFonts w:hint="eastAsia" w:ascii="仿宋_GB2312" w:hAnsi="仿宋_GB2312" w:eastAsia="仿宋_GB2312" w:cs="仿宋_GB2312"/>
          <w:sz w:val="32"/>
          <w:szCs w:val="32"/>
          <w:shd w:val="clear" w:color="auto" w:fill="FFFFFF"/>
        </w:rPr>
        <w:t>推进县综合医院与贵阳市三甲医院共同构建远程心电、影像、检验、病理诊断4个信息共享平台。</w:t>
      </w:r>
      <w:r>
        <w:rPr>
          <w:rFonts w:hint="eastAsia" w:ascii="仿宋_GB2312" w:hAnsi="仿宋_GB2312" w:eastAsia="仿宋_GB2312" w:cs="仿宋_GB2312"/>
          <w:kern w:val="0"/>
          <w:sz w:val="32"/>
          <w:szCs w:val="32"/>
        </w:rPr>
        <w:t>鼓励为老年人开通就诊绿色通道、开设老年医学科、依托乡镇卫生院等为居家失能老人提供家庭病床、巡诊等上门医疗服务。实现城区卫生服务机构医养结合全覆盖，建设不少于1所独立的老年护理院或依托县级医院附设的老年护理院，医养结合型机构不少于1个。</w:t>
      </w:r>
      <w:bookmarkStart w:id="853" w:name="_Toc47098257"/>
    </w:p>
    <w:p w14:paraId="468FDF2D">
      <w:pPr>
        <w:pStyle w:val="27"/>
        <w:spacing w:line="560" w:lineRule="exact"/>
        <w:ind w:firstLine="643"/>
        <w:rPr>
          <w:rFonts w:ascii="仿宋_GB2312" w:hAnsi="仿宋_GB2312" w:eastAsia="仿宋_GB2312" w:cs="仿宋_GB2312"/>
          <w:sz w:val="32"/>
          <w:szCs w:val="32"/>
        </w:rPr>
      </w:pPr>
      <w:r>
        <w:rPr>
          <w:rFonts w:hint="eastAsia" w:ascii="黑体" w:hAnsi="黑体" w:eastAsia="黑体"/>
          <w:b/>
          <w:bCs/>
          <w:sz w:val="32"/>
          <w:szCs w:val="32"/>
        </w:rPr>
        <w:t>三、健全医疗服务保障体系</w:t>
      </w:r>
      <w:bookmarkEnd w:id="853"/>
      <w:r>
        <w:rPr>
          <w:rFonts w:hint="eastAsia" w:ascii="黑体" w:hAnsi="黑体" w:eastAsia="黑体"/>
          <w:b/>
          <w:bCs/>
          <w:sz w:val="32"/>
          <w:szCs w:val="32"/>
        </w:rPr>
        <w:t>。</w:t>
      </w:r>
      <w:r>
        <w:rPr>
          <w:rFonts w:hint="eastAsia" w:ascii="仿宋_GB2312" w:hAnsi="仿宋_GB2312" w:eastAsia="仿宋_GB2312" w:cs="仿宋_GB2312"/>
          <w:kern w:val="0"/>
          <w:sz w:val="32"/>
          <w:szCs w:val="32"/>
        </w:rPr>
        <w:t>与省内外具有较高学术水平和专科技术的三甲医院协作，承建、共建重点特色专科。2022年底县人民医院通过三级综合医院认定，县中医医院达到三级中医医院标准。到2025年，县人民医院、县中医医院各建成市级重点学科1个。</w:t>
      </w:r>
      <w:r>
        <w:rPr>
          <w:rFonts w:hint="eastAsia" w:ascii="仿宋_GB2312" w:hAnsi="仿宋_GB2312" w:eastAsia="仿宋_GB2312" w:cs="仿宋_GB2312"/>
          <w:bCs/>
          <w:sz w:val="32"/>
          <w:szCs w:val="32"/>
        </w:rPr>
        <w:t>建立中西医结合创新研究平台和重大疑难疾病中西医协作机制，实施重大疑难疾病和重大传染病的中西医联合攻关，提高临床疗效。加强县综合医院中医科和中药房建设，中药价格原则上不得高于市级三甲医院。到“十四五”末，中医药服务量达到农村卫生服务总量的20%以上。70%以上村卫生室至少有1名能利用中医适宜技术提供服务的乡村医生。</w:t>
      </w:r>
      <w:r>
        <w:rPr>
          <w:rFonts w:hint="eastAsia" w:ascii="仿宋_GB2312" w:hAnsi="仿宋_GB2312" w:eastAsia="仿宋_GB2312" w:cs="仿宋_GB2312"/>
          <w:kern w:val="0"/>
          <w:sz w:val="32"/>
          <w:szCs w:val="32"/>
        </w:rPr>
        <w:t>推进“互联网+”医疗服务，为患者提供预约诊疗、移动支付、床旁结算、就诊提醒、结果查询、信息推送等便捷服务。建立完善安全风险监控和管理机制，</w:t>
      </w:r>
      <w:r>
        <w:rPr>
          <w:rFonts w:hint="eastAsia" w:ascii="仿宋_GB2312" w:hAnsi="仿宋_GB2312" w:eastAsia="仿宋_GB2312" w:cs="仿宋_GB2312"/>
          <w:sz w:val="32"/>
          <w:szCs w:val="32"/>
        </w:rPr>
        <w:t>积极构建疾控部门、医院、基层医疗卫生机构“三位一体”的疾病预防控制救治体系，保障监测预警、医疗救治、物资保障等紧急救援能力，</w:t>
      </w:r>
      <w:r>
        <w:rPr>
          <w:rFonts w:hint="eastAsia" w:ascii="仿宋_GB2312" w:hAnsi="仿宋_GB2312" w:eastAsia="仿宋_GB2312" w:cs="仿宋_GB2312"/>
          <w:kern w:val="0"/>
          <w:sz w:val="32"/>
          <w:szCs w:val="32"/>
        </w:rPr>
        <w:t>将医院感染防控作为年度校验和医院评审评定“一票否决”指标。加强医疗机构临床用血资质审核管理。开展医疗乱象整治专项活动。全县医疗服务群众满意率达到90%以上。认真落实相关医疗保险制度，解决“因病致贫”或“因贫致病”问题。制定职业病防治规划，保障劳动者依法享有职业健康保护权利。完善职业病防治标准体系，完善传染病防控体系。加强尘肺病等职业病救治保障。职业病防治监督检查覆盖率达100%，辖区职业健康检查覆盖率85%以上，职业病诊断服务覆盖率达90%以上。接尘工龄不足5年劳动者新发尘肺病报告例数占年度报告总例数比例实现明显下降，并持续下降。</w:t>
      </w:r>
    </w:p>
    <w:p w14:paraId="153517FA">
      <w:pPr>
        <w:pStyle w:val="4"/>
        <w:spacing w:before="312" w:beforeLines="100" w:after="312" w:afterLines="100" w:line="560" w:lineRule="exact"/>
        <w:jc w:val="center"/>
        <w:rPr>
          <w:rFonts w:ascii="方正小标宋简体" w:hAnsi="方正小标宋简体" w:eastAsia="方正小标宋简体" w:cs="方正小标宋简体"/>
          <w:kern w:val="0"/>
        </w:rPr>
      </w:pPr>
      <w:bookmarkStart w:id="854" w:name="_Toc13296"/>
      <w:bookmarkStart w:id="855" w:name="_Toc8701"/>
      <w:bookmarkStart w:id="856" w:name="_Toc20178"/>
      <w:bookmarkStart w:id="857" w:name="_Toc61193835"/>
      <w:bookmarkStart w:id="858" w:name="_Toc22698"/>
      <w:bookmarkStart w:id="859" w:name="_Toc32351"/>
      <w:bookmarkStart w:id="860" w:name="_Toc9718"/>
      <w:bookmarkStart w:id="861" w:name="_Toc31349"/>
      <w:bookmarkStart w:id="862" w:name="_Toc25338"/>
      <w:bookmarkStart w:id="863" w:name="_Toc32227"/>
      <w:bookmarkStart w:id="864" w:name="_Toc27359"/>
      <w:bookmarkStart w:id="865" w:name="_Toc4171"/>
      <w:bookmarkStart w:id="866" w:name="_Toc26635"/>
      <w:bookmarkStart w:id="867" w:name="_Toc58580339"/>
      <w:bookmarkStart w:id="868" w:name="_Toc30755"/>
      <w:bookmarkStart w:id="869" w:name="_Toc49344428"/>
      <w:bookmarkStart w:id="870" w:name="_Toc11915"/>
      <w:r>
        <w:rPr>
          <w:rFonts w:hint="eastAsia" w:ascii="方正小标宋简体" w:hAnsi="方正小标宋简体" w:eastAsia="方正小标宋简体" w:cs="方正小标宋简体"/>
          <w:b w:val="0"/>
          <w:bCs w:val="0"/>
          <w:kern w:val="0"/>
        </w:rPr>
        <w:t>第四节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建设多层次社会保障体系</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47B19921">
      <w:pPr>
        <w:pStyle w:val="9"/>
        <w:snapToGrid w:val="0"/>
        <w:spacing w:line="560" w:lineRule="exact"/>
        <w:ind w:firstLine="643" w:firstLineChars="200"/>
        <w:rPr>
          <w:rFonts w:ascii="仿宋_GB2312" w:hAnsi="仿宋_GB2312" w:eastAsia="仿宋_GB2312" w:cs="仿宋_GB2312"/>
          <w:sz w:val="32"/>
          <w:szCs w:val="32"/>
        </w:rPr>
      </w:pPr>
      <w:r>
        <w:rPr>
          <w:rFonts w:hint="eastAsia" w:ascii="黑体" w:hAnsi="黑体" w:eastAsia="黑体"/>
          <w:b/>
          <w:bCs/>
          <w:sz w:val="32"/>
          <w:szCs w:val="32"/>
        </w:rPr>
        <w:t>提升社会保障体系覆盖率。</w:t>
      </w:r>
      <w:r>
        <w:rPr>
          <w:rFonts w:hint="eastAsia" w:ascii="Times New Roman" w:hAnsi="Times New Roman" w:eastAsia="仿宋_GB2312" w:cs="Times New Roman"/>
          <w:color w:val="000000"/>
          <w:sz w:val="32"/>
          <w:szCs w:val="32"/>
        </w:rPr>
        <w:t>坚持广覆盖、保基本、可持续的方针，</w:t>
      </w:r>
      <w:r>
        <w:rPr>
          <w:rFonts w:hint="eastAsia" w:ascii="Times New Roman" w:hAnsi="Times New Roman" w:eastAsia="仿宋_GB2312" w:cs="Times New Roman"/>
          <w:sz w:val="32"/>
          <w:szCs w:val="32"/>
        </w:rPr>
        <w:t>落实好多层次的社会保障政策，</w:t>
      </w:r>
      <w:r>
        <w:rPr>
          <w:rFonts w:hint="eastAsia" w:ascii="Times New Roman" w:hAnsi="Times New Roman" w:eastAsia="仿宋_GB2312" w:cs="Times New Roman"/>
          <w:color w:val="000000"/>
          <w:sz w:val="32"/>
          <w:szCs w:val="32"/>
        </w:rPr>
        <w:t>构建水平适度、持续稳定的社会保障网。</w:t>
      </w:r>
      <w:r>
        <w:rPr>
          <w:rFonts w:hint="eastAsia" w:ascii="仿宋_GB2312" w:hAnsi="仿宋_GB2312" w:eastAsia="仿宋_GB2312" w:cs="仿宋_GB2312"/>
          <w:sz w:val="32"/>
          <w:szCs w:val="32"/>
          <w:highlight w:val="none"/>
        </w:rPr>
        <w:t>认真贯彻执行中央、省、市社会保险参保缴费政策，进一步完善城镇企业职工基本养老保险制度，加快完善失业保险政策体系，完善工伤保险政策和标准体系，落实被征地农民养老保险政策，促进城乡居民基本养老保险健康发展。全面建成覆盖全民、城乡统筹、权责清晰、保障适度、可持续的多层次社会保障体系。实现社保制度基本完善、户籍人口全面覆盖、基本保障更加可靠、基金运行安全有效、管理服务高效便捷。</w:t>
      </w:r>
      <w:r>
        <w:rPr>
          <w:rFonts w:hint="eastAsia" w:ascii="Times New Roman" w:hAnsi="Times New Roman" w:eastAsia="仿宋_GB2312" w:cs="Times New Roman"/>
          <w:color w:val="000000"/>
          <w:sz w:val="32"/>
          <w:szCs w:val="32"/>
        </w:rPr>
        <w:t>深化医疗保障制度改革，夯实基本医疗保险、大病保险与医疗救助三重保障制度，推进医疗互助、商业医疗保险、慈善捐赠等共同发展</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到2025年，城乡居民基本养老保险、城镇企业职工基本养老保险、失业保险、工伤保险参保覆盖率达分别达97%、93%、92%、93%。</w:t>
      </w:r>
    </w:p>
    <w:p w14:paraId="6B9AA2F8">
      <w:pPr>
        <w:pStyle w:val="21"/>
        <w:spacing w:line="560" w:lineRule="exact"/>
        <w:ind w:firstLine="643"/>
        <w:rPr>
          <w:rFonts w:ascii="仿宋_GB2312" w:hAnsi="仿宋_GB2312" w:eastAsia="仿宋_GB2312" w:cs="仿宋_GB2312"/>
          <w:strike/>
          <w:sz w:val="32"/>
          <w:szCs w:val="32"/>
        </w:rPr>
      </w:pPr>
      <w:r>
        <w:rPr>
          <w:rFonts w:hint="eastAsia" w:ascii="黑体" w:hAnsi="黑体" w:eastAsia="黑体"/>
          <w:b/>
          <w:bCs/>
          <w:sz w:val="32"/>
          <w:szCs w:val="32"/>
        </w:rPr>
        <w:t>加强住房保障体系建设。</w:t>
      </w:r>
      <w:r>
        <w:rPr>
          <w:rFonts w:hint="eastAsia" w:ascii="仿宋_GB2312" w:hAnsi="仿宋_GB2312" w:eastAsia="仿宋_GB2312" w:cs="仿宋_GB2312"/>
          <w:sz w:val="32"/>
          <w:szCs w:val="32"/>
        </w:rPr>
        <w:t>发展商品住房，满足多层次住房需求，新增各类商品房面积123.38万平方米，城镇绿色建筑占比达50%以上，装配式建筑占比达20%以上。落实政策类住房，基本实现“住有所居”，对低收入家庭实现“应保尽保”，保障覆盖率100%，将住房困难的城乡低收入残疾人家庭全部纳入住房保障和住房救助制度，农村危改予以优先安排。建设人才安居住房1632套。发展租赁类住房，新增租赁类住房面积约13.7万平方米、2610套，其中新增公共租赁住房500套（含商品住房项目配建的5%），引导400余套空置存量房源进入住房租赁市场。基本建立租购并举的住房制度，形成供应主体多元、经营服务规范、租赁关系稳定的住房租赁市场体系。县城新建商品住房专业物业覆盖率达100%，城市化专业化物业管理房屋达到70%以上。</w:t>
      </w:r>
    </w:p>
    <w:p w14:paraId="77EA299B">
      <w:pPr>
        <w:pStyle w:val="21"/>
        <w:spacing w:line="560" w:lineRule="exact"/>
        <w:ind w:firstLine="643"/>
        <w:rPr>
          <w:rFonts w:ascii="仿宋_GB2312" w:hAnsi="仿宋_GB2312" w:eastAsia="仿宋_GB2312" w:cs="仿宋_GB2312"/>
          <w:sz w:val="32"/>
          <w:szCs w:val="32"/>
        </w:rPr>
      </w:pPr>
      <w:r>
        <w:rPr>
          <w:rFonts w:hint="eastAsia" w:ascii="黑体" w:hAnsi="黑体" w:eastAsia="黑体"/>
          <w:b/>
          <w:bCs/>
          <w:sz w:val="32"/>
          <w:szCs w:val="32"/>
        </w:rPr>
        <w:t>完善“一老一小”服务体系。</w:t>
      </w:r>
      <w:r>
        <w:rPr>
          <w:rFonts w:hint="eastAsia" w:ascii="Times New Roman" w:hAnsi="Times New Roman" w:eastAsia="仿宋_GB2312" w:cs="Times New Roman"/>
          <w:sz w:val="32"/>
          <w:szCs w:val="32"/>
        </w:rPr>
        <w:t>贯彻落实好国家应对人口老龄化战略，积极开发老龄人力资源，发展“银发”经济，培育养老新业态。</w:t>
      </w:r>
      <w:r>
        <w:rPr>
          <w:rFonts w:hint="eastAsia" w:ascii="仿宋_GB2312" w:hAnsi="仿宋_GB2312" w:eastAsia="仿宋_GB2312" w:cs="仿宋_GB2312"/>
          <w:sz w:val="32"/>
          <w:szCs w:val="32"/>
        </w:rPr>
        <w:t>着力构建“居家社区机构相协调、医养康养相结合”的养老服务体系，提质改造9个农村敬老院，新建温泉、鹿窝、永靖等乡镇敬老院，推进息烽县南山康养院项目建设，完成10个社区老年人日间照料中心建设，构建以村居为主体建立养老服务网络，注重智慧养老服务网络搭建，建立起“老人—社区养老服务组织—服务人员”的三级联动模式。推进新殡仪馆建设和现有火化场改造。积极应对人口老龄化，推进老年大学建设发展。</w:t>
      </w:r>
      <w:r>
        <w:rPr>
          <w:rFonts w:hint="eastAsia" w:ascii="Times New Roman" w:hAnsi="Times New Roman" w:eastAsia="仿宋_GB2312" w:cs="Times New Roman"/>
          <w:sz w:val="32"/>
          <w:szCs w:val="32"/>
        </w:rPr>
        <w:t>完善生育服务体系，提高优生优育服务水平。加快托育事业发展，降低生育、养育、教育成本，促进人口长期均衡发展，提高人口素质。</w:t>
      </w:r>
      <w:r>
        <w:rPr>
          <w:rFonts w:hint="eastAsia" w:ascii="仿宋_GB2312" w:hAnsi="仿宋_GB2312" w:eastAsia="仿宋_GB2312" w:cs="仿宋_GB2312"/>
          <w:sz w:val="32"/>
          <w:szCs w:val="32"/>
        </w:rPr>
        <w:t>注重婴幼儿个性化培养托育服务，构建营利性婴幼儿照护托育园、公办婴幼儿照护托育园、集体或单位举办的公办性质托育园、普惠性服务民办托育园等托育机构。探索建立公共财政、社会参与、家庭成员合理分摊的婴幼儿早期服务、老年人养老服务发展成本分摊机制等，通过提供场地、减免租金、政府购买服务、以奖代补等措施落实养老托育机构优惠政策等。制定养老托育人员资格准入标准，规范从业人员任职资格和专业标准，确保人员专业准入，加强职前培养、职业技能培训、职后培训，不断提升专业化水平。</w:t>
      </w:r>
    </w:p>
    <w:p w14:paraId="01890366">
      <w:pPr>
        <w:spacing w:line="560" w:lineRule="exact"/>
        <w:ind w:firstLine="640"/>
        <w:rPr>
          <w:rFonts w:ascii="仿宋_GB2312" w:hAnsi="仿宋_GB2312" w:eastAsia="仿宋_GB2312" w:cs="仿宋_GB2312"/>
          <w:sz w:val="32"/>
          <w:szCs w:val="32"/>
        </w:rPr>
      </w:pPr>
      <w:r>
        <w:rPr>
          <w:rFonts w:hint="eastAsia" w:ascii="黑体" w:hAnsi="黑体" w:eastAsia="黑体"/>
          <w:b/>
          <w:bCs/>
          <w:sz w:val="32"/>
          <w:szCs w:val="32"/>
        </w:rPr>
        <w:t>构建弱有所扶机制。</w:t>
      </w:r>
      <w:r>
        <w:rPr>
          <w:rFonts w:hint="eastAsia" w:ascii="仿宋_GB2312" w:hAnsi="仿宋_GB2312" w:eastAsia="仿宋_GB2312" w:cs="仿宋_GB2312"/>
          <w:sz w:val="32"/>
          <w:szCs w:val="32"/>
        </w:rPr>
        <w:t>加强慈善与社会救助、社会福利、社会保险等社会保障制度衔接，建立政府主导、民政牵头的大救助体系。持续开展“助医、助学、助困、助老、助残、应急救助”等慈善救助。健全兜底保障政策，建立低保标准动态调整机制，低保标准与物价上涨挂钩联动，逐步缩小城乡低保标准差距，推进城乡低保统筹。将无劳动能力贫困人口全部纳入农村低保范围和特困人员救助供养范围，确保应助尽助。对非贫困低保对象中存在致贫风险隐患的纳入监测范围，适当上浮低保补差标准，防止滑入贫困人口。健全特困救助供养、临时救助制度，建立低收入家庭信息库，定期开展核查，确保符合条件的人群全部纳入最低生活、特困供养、临时救助保障范围。</w:t>
      </w:r>
      <w:r>
        <w:rPr>
          <w:rFonts w:hint="eastAsia" w:ascii="仿宋_GB2312" w:hAnsi="仿宋_GB2312" w:eastAsia="仿宋_GB2312" w:cs="仿宋_GB2312"/>
          <w:snapToGrid w:val="0"/>
          <w:sz w:val="32"/>
          <w:szCs w:val="32"/>
        </w:rPr>
        <w:t>全面推开“救急难”工作，建立健全主动发现、部门协同、信息共享、慈善衔接机制。引导社会力量积极参与，统筹救助资源。编制并实施好《妇女发展纲要》《儿童发展纲要》，实施好《贵阳市中长期青年发展规划（2020—2025年）》，保护妇女儿童、青年权益。</w:t>
      </w:r>
      <w:r>
        <w:rPr>
          <w:rFonts w:hint="eastAsia" w:ascii="仿宋_GB2312" w:hAnsi="仿宋_GB2312" w:eastAsia="仿宋_GB2312" w:cs="仿宋_GB2312"/>
          <w:sz w:val="32"/>
          <w:szCs w:val="32"/>
        </w:rPr>
        <w:t>实施好国家“阳光家园计划”残疾人托养服务项目，政府开发或购买公益性岗位，安排残疾人就业比例不低于8%，机关、事业单位及国有企业按不低于1.5%比例带头安置残疾人就业。</w:t>
      </w:r>
      <w:r>
        <w:rPr>
          <w:rFonts w:hint="eastAsia" w:ascii="仿宋_GB2312" w:hAnsi="仿宋_GB2312" w:eastAsia="仿宋_GB2312" w:cs="仿宋_GB2312"/>
          <w:snapToGrid w:val="0"/>
          <w:sz w:val="32"/>
          <w:szCs w:val="32"/>
        </w:rPr>
        <w:t>加强特困人员供养服务机构建设，完善内部管理，健全服务规范。生活不能自理特困人员集中供养率达到省市标准。</w:t>
      </w:r>
    </w:p>
    <w:p w14:paraId="4C7BB6EE">
      <w:pPr>
        <w:tabs>
          <w:tab w:val="center" w:pos="4153"/>
          <w:tab w:val="right" w:pos="8306"/>
        </w:tabs>
        <w:spacing w:line="560" w:lineRule="exact"/>
        <w:ind w:firstLine="640"/>
        <w:rPr>
          <w:rFonts w:hint="eastAsia" w:ascii="黑体" w:hAnsi="黑体" w:eastAsia="黑体"/>
          <w:b/>
          <w:bCs/>
          <w:sz w:val="32"/>
          <w:szCs w:val="32"/>
        </w:rPr>
      </w:pPr>
      <w:r>
        <w:rPr>
          <w:rFonts w:hint="eastAsia" w:ascii="黑体" w:hAnsi="黑体" w:eastAsia="黑体"/>
          <w:b/>
          <w:bCs/>
          <w:sz w:val="32"/>
          <w:szCs w:val="32"/>
        </w:rPr>
        <w:t>加强退役军人服务保障体系建设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落实各项政策，为自谋职业的军转干部、随军家属和退伍士兵排忧解难，在优抚安置、就业创业、就医养老等方面提供保障。强化安置体系建设，畅通安置渠道，严格落实政策100%实现兜底安置。建立健全安置编制保障体系，合理安排职务职级，保障待遇。按照“一年两次征兵两次退役改革”有关规定，改进、优化移交安置办法和程序。推进退役军人创业就业，通过“创业孵化园”建设，孵化一批“双创”项目，解决“就业难”“技能单一”“创业难”等问题。建立学历教育与职业职能培训互为补充的教育培训体系，为其接受高等教育提供更多机会。制定退役军人优先就业岗位目录搭建信息平台。</w:t>
      </w:r>
    </w:p>
    <w:p w14:paraId="0833A24D">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871" w:name="_Toc29378"/>
      <w:bookmarkStart w:id="872" w:name="_Toc61193836"/>
      <w:bookmarkStart w:id="873" w:name="_Toc27445"/>
      <w:bookmarkStart w:id="874" w:name="_Toc4508"/>
      <w:bookmarkStart w:id="875" w:name="_Toc12041"/>
      <w:bookmarkStart w:id="876" w:name="_Toc18234"/>
      <w:bookmarkStart w:id="877" w:name="_Toc20593"/>
      <w:r>
        <w:rPr>
          <w:rFonts w:hint="eastAsia" w:ascii="方正小标宋简体" w:hAnsi="方正小标宋简体" w:eastAsia="方正小标宋简体" w:cs="方正小标宋简体"/>
          <w:b w:val="0"/>
          <w:bCs w:val="0"/>
          <w:kern w:val="0"/>
        </w:rPr>
        <w:t xml:space="preserve">第五节 </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提高人民收入水平</w:t>
      </w:r>
      <w:bookmarkEnd w:id="871"/>
      <w:bookmarkEnd w:id="872"/>
      <w:bookmarkEnd w:id="873"/>
      <w:bookmarkEnd w:id="874"/>
      <w:bookmarkEnd w:id="875"/>
      <w:bookmarkEnd w:id="876"/>
      <w:bookmarkEnd w:id="877"/>
    </w:p>
    <w:p w14:paraId="310CC3D6">
      <w:pPr>
        <w:tabs>
          <w:tab w:val="left" w:pos="1440"/>
        </w:tabs>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施城乡居民增收计划，提高劳动报酬在初次分配中的比重。稳步增加城乡居民尤其是中低收入家庭收入，深化收入分配制度改革，完善最低工资保障制度和工资支付保障机制，落实中央调整机关事业单位基本工资标准政策，健全企业工资正常增长机制。完善按要素分配政策制度，健全各类生产要素由市场决定报酬的机制，探索通过土地、资本等要素使用权、收益权增加中低收入群体要素收入。多渠道增加城乡居民财产性收入，缩小城乡收入差距。完善再分配机制，加大税收、社保、转移支付等调节力度和精准性，合理调节过高收入，取缔非法收入。到2025年，全县城乡差距收入比降到2.1:1。</w:t>
      </w:r>
    </w:p>
    <w:p w14:paraId="3C31E0E4">
      <w:pPr>
        <w:tabs>
          <w:tab w:val="center" w:pos="4153"/>
          <w:tab w:val="right" w:pos="8306"/>
        </w:tabs>
        <w:spacing w:line="560" w:lineRule="exact"/>
        <w:ind w:firstLine="640"/>
        <w:rPr>
          <w:rFonts w:ascii="方正小标宋简体" w:hAnsi="方正小标宋简体" w:eastAsia="方正小标宋简体" w:cs="方正小标宋简体"/>
          <w:b/>
          <w:bCs/>
          <w:kern w:val="44"/>
          <w:sz w:val="36"/>
          <w:szCs w:val="36"/>
        </w:rPr>
      </w:pPr>
      <w:r>
        <w:rPr>
          <w:rFonts w:ascii="方正小标宋简体" w:hAnsi="方正小标宋简体" w:eastAsia="方正小标宋简体" w:cs="方正小标宋简体"/>
          <w:sz w:val="36"/>
          <w:szCs w:val="36"/>
        </w:rPr>
        <w:br w:type="page"/>
      </w:r>
    </w:p>
    <w:p w14:paraId="6004BBD5">
      <w:pPr>
        <w:pStyle w:val="3"/>
        <w:spacing w:before="312" w:beforeLines="100" w:after="312" w:afterLines="100" w:line="560" w:lineRule="exact"/>
        <w:jc w:val="center"/>
        <w:rPr>
          <w:rFonts w:ascii="仿宋_GB2312" w:hAnsi="仿宋_GB2312" w:eastAsia="仿宋_GB2312" w:cs="仿宋_GB2312"/>
          <w:b w:val="0"/>
          <w:bCs w:val="0"/>
          <w:sz w:val="32"/>
          <w:szCs w:val="32"/>
        </w:rPr>
      </w:pPr>
      <w:bookmarkStart w:id="878" w:name="_Toc19444"/>
      <w:bookmarkStart w:id="879" w:name="_Toc10935"/>
      <w:bookmarkStart w:id="880" w:name="_Toc18421"/>
      <w:bookmarkStart w:id="881" w:name="_Toc2112"/>
      <w:bookmarkStart w:id="882" w:name="_Toc24961"/>
      <w:bookmarkStart w:id="883" w:name="_Toc7378"/>
      <w:bookmarkStart w:id="884" w:name="_Toc22021"/>
      <w:bookmarkStart w:id="885" w:name="_Toc11675"/>
      <w:bookmarkStart w:id="886" w:name="_Toc13848"/>
      <w:bookmarkStart w:id="887" w:name="_Toc6015"/>
      <w:bookmarkStart w:id="888" w:name="_Toc7598"/>
      <w:bookmarkStart w:id="889" w:name="_Toc26291"/>
      <w:bookmarkStart w:id="890" w:name="_Toc23738"/>
      <w:bookmarkStart w:id="891" w:name="_Toc61193837"/>
      <w:bookmarkStart w:id="892" w:name="_Toc6744"/>
      <w:bookmarkStart w:id="893" w:name="_Toc58580340"/>
      <w:r>
        <w:rPr>
          <w:rFonts w:hint="eastAsia" w:ascii="方正小标宋简体" w:hAnsi="方正小标宋简体" w:eastAsia="方正小标宋简体" w:cs="方正小标宋简体"/>
          <w:b w:val="0"/>
          <w:bCs w:val="0"/>
          <w:sz w:val="36"/>
          <w:szCs w:val="36"/>
        </w:rPr>
        <w:t xml:space="preserve">第十四章 </w:t>
      </w:r>
      <w:r>
        <w:rPr>
          <w:rFonts w:ascii="方正小标宋简体" w:hAnsi="方正小标宋简体" w:eastAsia="方正小标宋简体" w:cs="方正小标宋简体"/>
          <w:b w:val="0"/>
          <w:bCs w:val="0"/>
          <w:sz w:val="36"/>
          <w:szCs w:val="36"/>
        </w:rPr>
        <w:t xml:space="preserve"> </w:t>
      </w:r>
      <w:r>
        <w:rPr>
          <w:rFonts w:hint="eastAsia" w:ascii="方正小标宋简体" w:hAnsi="方正小标宋简体" w:eastAsia="方正小标宋简体" w:cs="方正小标宋简体"/>
          <w:b w:val="0"/>
          <w:bCs w:val="0"/>
          <w:sz w:val="36"/>
          <w:szCs w:val="36"/>
        </w:rPr>
        <w:t>统筹发展和安全</w:t>
      </w:r>
      <w:r>
        <w:rPr>
          <w:rFonts w:hint="eastAsia" w:ascii="方正小标宋简体" w:hAnsi="方正小标宋简体" w:eastAsia="方正小标宋简体" w:cs="方正小标宋简体"/>
          <w:b w:val="0"/>
          <w:bCs w:val="0"/>
          <w:sz w:val="36"/>
          <w:szCs w:val="36"/>
          <w:lang w:val="en-US" w:eastAsia="zh-CN"/>
        </w:rPr>
        <w:t xml:space="preserve">   高质量</w:t>
      </w:r>
      <w:r>
        <w:rPr>
          <w:rFonts w:hint="eastAsia" w:ascii="方正小标宋简体" w:hAnsi="方正小标宋简体" w:eastAsia="方正小标宋简体" w:cs="方正小标宋简体"/>
          <w:b w:val="0"/>
          <w:bCs w:val="0"/>
          <w:sz w:val="36"/>
          <w:szCs w:val="36"/>
        </w:rPr>
        <w:t>建设更高水平平安息烽</w:t>
      </w:r>
      <w:bookmarkEnd w:id="799"/>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08671947">
      <w:pPr>
        <w:overflowPunct w:val="0"/>
        <w:autoSpaceDE w:val="0"/>
        <w:autoSpaceDN w:val="0"/>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落实国家安全战略，树牢安全发展理念，坚持把安全发展贯穿发展全方面、各领域，着力推动各类重大风险有效防范化解，建设更高水平的“全国平安建设先进县”，努力实现县域社会治理能力和治理水平现代化。</w:t>
      </w:r>
    </w:p>
    <w:p w14:paraId="4C700651">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894" w:name="_Toc30652"/>
      <w:bookmarkStart w:id="895" w:name="_Toc31544"/>
      <w:bookmarkStart w:id="896" w:name="_Toc61193838"/>
      <w:bookmarkStart w:id="897" w:name="_Toc26056"/>
      <w:bookmarkStart w:id="898" w:name="_Toc25950"/>
      <w:bookmarkStart w:id="899" w:name="_Toc14291"/>
      <w:bookmarkStart w:id="900" w:name="_Toc22984"/>
      <w:r>
        <w:rPr>
          <w:rFonts w:hint="eastAsia" w:ascii="方正小标宋简体" w:hAnsi="方正小标宋简体" w:eastAsia="方正小标宋简体" w:cs="方正小标宋简体"/>
          <w:b w:val="0"/>
          <w:bCs w:val="0"/>
          <w:kern w:val="0"/>
        </w:rPr>
        <w:t>第一节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全力防范化解重大风险</w:t>
      </w:r>
      <w:bookmarkEnd w:id="894"/>
      <w:bookmarkEnd w:id="895"/>
      <w:bookmarkEnd w:id="896"/>
      <w:bookmarkEnd w:id="897"/>
      <w:bookmarkEnd w:id="898"/>
      <w:bookmarkEnd w:id="899"/>
      <w:bookmarkEnd w:id="900"/>
    </w:p>
    <w:p w14:paraId="628439EC">
      <w:pPr>
        <w:overflowPunct w:val="0"/>
        <w:autoSpaceDE w:val="0"/>
        <w:autoSpaceDN w:val="0"/>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注重防范化解重大风险是确保经济社会稳定发展的“压舱石”，要不断健全防范化解重大风险体制机制。</w:t>
      </w:r>
      <w:r>
        <w:rPr>
          <w:rFonts w:hint="eastAsia" w:ascii="Times New Roman" w:hAnsi="Times New Roman" w:eastAsia="仿宋_GB2312" w:cs="Times New Roman"/>
          <w:b/>
          <w:bCs/>
          <w:sz w:val="32"/>
          <w:szCs w:val="32"/>
        </w:rPr>
        <w:t>防范化解政府债务风险。</w:t>
      </w:r>
      <w:r>
        <w:rPr>
          <w:rFonts w:hint="eastAsia" w:ascii="Times New Roman" w:hAnsi="Times New Roman" w:eastAsia="仿宋_GB2312" w:cs="Times New Roman"/>
          <w:sz w:val="32"/>
          <w:szCs w:val="32"/>
        </w:rPr>
        <w:t>全面落实“六稳”“六保”，加强债务化解制度建设。强化经济安全风险预警、防控机制和能力建设，牢牢守住不发生系统性金融风险底线。</w:t>
      </w:r>
      <w:r>
        <w:rPr>
          <w:rFonts w:hint="eastAsia" w:ascii="Times New Roman" w:hAnsi="Times New Roman" w:eastAsia="仿宋_GB2312" w:cs="Times New Roman"/>
          <w:sz w:val="32"/>
          <w:szCs w:val="32"/>
          <w:lang w:val="en-US" w:eastAsia="zh-CN"/>
        </w:rPr>
        <w:t>认真履行属地职能，实现高风险金融机构“摘帽”。</w:t>
      </w:r>
      <w:r>
        <w:rPr>
          <w:rFonts w:hint="eastAsia" w:ascii="Times New Roman" w:hAnsi="Times New Roman" w:eastAsia="仿宋_GB2312" w:cs="Times New Roman"/>
          <w:sz w:val="32"/>
          <w:szCs w:val="32"/>
        </w:rPr>
        <w:t>继续贯彻落实国家对地方政府隐性债务工作的重要政策措施，坚决遏制政府债务增量、妥善化解存量、增强综合财力。做好债务动态监测分析，稳定有效投资，规范项目融资，严防盲目举债上项目，确保风险可控。</w:t>
      </w:r>
      <w:r>
        <w:rPr>
          <w:rFonts w:hint="eastAsia" w:ascii="Times New Roman" w:hAnsi="Times New Roman" w:eastAsia="仿宋_GB2312" w:cs="Times New Roman"/>
          <w:b/>
          <w:bCs/>
          <w:sz w:val="32"/>
          <w:szCs w:val="32"/>
        </w:rPr>
        <w:t>健全完善公共安全保障体系。</w:t>
      </w:r>
      <w:r>
        <w:rPr>
          <w:rFonts w:hint="eastAsia" w:ascii="Times New Roman" w:hAnsi="Times New Roman" w:eastAsia="仿宋_GB2312" w:cs="Times New Roman"/>
          <w:sz w:val="32"/>
          <w:szCs w:val="32"/>
        </w:rPr>
        <w:t>坚持人民至上、生命至上，把保护人民生命财产安全摆在突出位置。牢固树立底线思维，深化风险认识，压实工作责任，努力消除各类风险隐患，坚决实现“七个坚决防止”工作目标。完善疾病预防控制体系，健全医防协同机制，强化公共卫生和疾病防控管理，提高重大疫情的预警监测与处置能力。</w:t>
      </w:r>
      <w:r>
        <w:rPr>
          <w:rFonts w:hint="eastAsia" w:ascii="Times New Roman" w:hAnsi="Times New Roman" w:eastAsia="仿宋_GB2312" w:cs="Times New Roman"/>
          <w:b/>
          <w:bCs/>
          <w:sz w:val="32"/>
          <w:szCs w:val="32"/>
        </w:rPr>
        <w:t>建设防范化解风险的体制机制。</w:t>
      </w:r>
      <w:r>
        <w:rPr>
          <w:rFonts w:hint="eastAsia" w:ascii="Times New Roman" w:hAnsi="Times New Roman" w:eastAsia="仿宋_GB2312" w:cs="Times New Roman"/>
          <w:sz w:val="32"/>
          <w:szCs w:val="32"/>
        </w:rPr>
        <w:t>完善科学决策机制和程序，严格落实重大决策社会稳定风险评估制度。建立健全重大风险严密排查、精准研判、责任分解、督导落实、化解办结等机制。加强风险排查，建立风险隐患台账，实行销号管理。对各类风险信息分析、研判和评估，结合关键时期和特定区域内对政治、社会安全稳定造成的影响，确定风险等级。执行重大风险派单制，实行县级领导包案机制，牵头单位统筹抓总，责任单位主动配合，形成齐抓共管的工作格局。</w:t>
      </w:r>
    </w:p>
    <w:p w14:paraId="46773A6B">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901" w:name="_Toc16553"/>
      <w:bookmarkStart w:id="902" w:name="_Toc28973"/>
      <w:bookmarkStart w:id="903" w:name="_Toc28546"/>
      <w:bookmarkStart w:id="904" w:name="_Toc13701"/>
      <w:bookmarkStart w:id="905" w:name="_Toc61193839"/>
      <w:bookmarkStart w:id="906" w:name="_Toc22630"/>
      <w:bookmarkStart w:id="907" w:name="_Toc11674"/>
      <w:r>
        <w:rPr>
          <w:rFonts w:hint="eastAsia" w:ascii="方正小标宋简体" w:hAnsi="方正小标宋简体" w:eastAsia="方正小标宋简体" w:cs="方正小标宋简体"/>
          <w:b w:val="0"/>
          <w:bCs w:val="0"/>
          <w:kern w:val="0"/>
        </w:rPr>
        <w:t>第二节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加快建设法治息烽</w:t>
      </w:r>
      <w:bookmarkEnd w:id="901"/>
      <w:bookmarkEnd w:id="902"/>
      <w:bookmarkEnd w:id="903"/>
      <w:bookmarkEnd w:id="904"/>
      <w:bookmarkEnd w:id="905"/>
      <w:bookmarkEnd w:id="906"/>
      <w:bookmarkEnd w:id="907"/>
    </w:p>
    <w:p w14:paraId="0630BA30">
      <w:pPr>
        <w:overflowPunct w:val="0"/>
        <w:autoSpaceDE w:val="0"/>
        <w:autoSpaceDN w:val="0"/>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持续推进法治建设。</w:t>
      </w:r>
      <w:r>
        <w:rPr>
          <w:rFonts w:hint="eastAsia" w:ascii="Times New Roman" w:hAnsi="Times New Roman" w:eastAsia="仿宋_GB2312" w:cs="Times New Roman"/>
          <w:sz w:val="32"/>
          <w:szCs w:val="32"/>
        </w:rPr>
        <w:t>深入落实全面依法治国方略，推进科学立法、严格执法、公正司法、全民守法，维护国家法制统一、尊严、权威。发挥法治固根本、稳预期、利长远的保障作用，加强重点领域、新兴领域立法调研和司法监督。加快转变政府职能，建立职责明确、依法行政的政府治理体系，推进行政决策三化建设，加快完成行政复议体制改革。坚持法定职责必须为、法无授权不可为，把政府各项工作全面纳入法治轨道，力争成功创建省级法治示范县。坚持严格规范公正文明执法。全面实行政府权责清单制度，认真落实县、街道（乡镇）和部门党政主要负责人履行推进法治建设第一责任人制度，将法治建设与部门工作同研究、同部署、同推进、同考核。更加注重重大决策公众参与度、规范性文件实效评估、个人诚信与社会信用融合运用机制建设。</w:t>
      </w:r>
    </w:p>
    <w:p w14:paraId="2A18BDE5">
      <w:pPr>
        <w:overflowPunct w:val="0"/>
        <w:autoSpaceDE w:val="0"/>
        <w:autoSpaceDN w:val="0"/>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增强全民法治意识。</w:t>
      </w:r>
      <w:r>
        <w:rPr>
          <w:rFonts w:hint="eastAsia" w:ascii="Times New Roman" w:hAnsi="Times New Roman" w:eastAsia="仿宋_GB2312" w:cs="Times New Roman"/>
          <w:bCs/>
          <w:sz w:val="32"/>
          <w:szCs w:val="32"/>
        </w:rPr>
        <w:t>弘扬宪法精神，</w:t>
      </w:r>
      <w:r>
        <w:rPr>
          <w:rFonts w:hint="eastAsia" w:ascii="Times New Roman" w:hAnsi="Times New Roman" w:eastAsia="仿宋_GB2312" w:cs="Times New Roman"/>
          <w:sz w:val="32"/>
          <w:szCs w:val="32"/>
        </w:rPr>
        <w:t>全面推行普法责任制，认真抓好“八五”普法，法治宣传教育覆盖对象达到</w:t>
      </w:r>
      <w:r>
        <w:rPr>
          <w:rFonts w:ascii="Times New Roman" w:hAnsi="Times New Roman" w:eastAsia="仿宋_GB2312" w:cs="Times New Roman"/>
          <w:sz w:val="32"/>
          <w:szCs w:val="32"/>
        </w:rPr>
        <w:t>95%以上，形成</w:t>
      </w:r>
      <w:r>
        <w:rPr>
          <w:rFonts w:hint="eastAsia" w:ascii="Times New Roman" w:hAnsi="Times New Roman" w:eastAsia="仿宋_GB2312" w:cs="Times New Roman"/>
          <w:sz w:val="32"/>
          <w:szCs w:val="32"/>
          <w:lang w:eastAsia="zh-CN"/>
        </w:rPr>
        <w:t>自觉遵法</w:t>
      </w:r>
      <w:r>
        <w:rPr>
          <w:rFonts w:ascii="Times New Roman" w:hAnsi="Times New Roman" w:eastAsia="仿宋_GB2312" w:cs="Times New Roman"/>
          <w:sz w:val="32"/>
          <w:szCs w:val="32"/>
        </w:rPr>
        <w:t>学法</w:t>
      </w:r>
      <w:r>
        <w:rPr>
          <w:rFonts w:hint="eastAsia" w:ascii="Times New Roman" w:hAnsi="Times New Roman" w:eastAsia="仿宋_GB2312" w:cs="Times New Roman"/>
          <w:sz w:val="32"/>
          <w:szCs w:val="32"/>
        </w:rPr>
        <w:t>用法</w:t>
      </w:r>
      <w:r>
        <w:rPr>
          <w:rFonts w:ascii="Times New Roman" w:hAnsi="Times New Roman" w:eastAsia="仿宋_GB2312" w:cs="Times New Roman"/>
          <w:sz w:val="32"/>
          <w:szCs w:val="32"/>
        </w:rPr>
        <w:t>守法的良好社会氛围。把法治教育纳入中小学课堂</w:t>
      </w:r>
      <w:r>
        <w:rPr>
          <w:rFonts w:hint="eastAsia" w:ascii="Times New Roman" w:hAnsi="Times New Roman" w:eastAsia="仿宋_GB2312" w:cs="Times New Roman"/>
          <w:sz w:val="32"/>
          <w:szCs w:val="32"/>
        </w:rPr>
        <w:t>，同时引导各界人士主动学法守法。强化“谁执法谁普法”普法责任制，梳理分解责任清单，贯穿立法、执法、司法和管理服务全过程。将</w:t>
      </w:r>
      <w:r>
        <w:rPr>
          <w:rFonts w:hint="eastAsia" w:ascii="Times New Roman" w:hAnsi="Times New Roman" w:eastAsia="仿宋_GB2312" w:cs="Times New Roman"/>
          <w:sz w:val="32"/>
          <w:szCs w:val="32"/>
          <w:lang w:eastAsia="zh-CN"/>
        </w:rPr>
        <w:t>中华人民共和国民法典》</w:t>
      </w:r>
      <w:r>
        <w:rPr>
          <w:rFonts w:hint="eastAsia" w:ascii="Times New Roman" w:hAnsi="Times New Roman" w:eastAsia="仿宋_GB2312" w:cs="Times New Roman"/>
          <w:sz w:val="32"/>
          <w:szCs w:val="32"/>
        </w:rPr>
        <w:t>作为“八五”普法重要内容，发展普法宣传员，力争到</w:t>
      </w:r>
      <w:r>
        <w:rPr>
          <w:rFonts w:ascii="Times New Roman" w:hAnsi="Times New Roman" w:eastAsia="仿宋_GB2312" w:cs="Times New Roman"/>
          <w:sz w:val="32"/>
          <w:szCs w:val="32"/>
        </w:rPr>
        <w:t>2025年，让民法典成为全体社会成员遵循的规范。</w:t>
      </w:r>
      <w:r>
        <w:rPr>
          <w:rFonts w:hint="eastAsia" w:ascii="Times New Roman" w:hAnsi="Times New Roman" w:eastAsia="仿宋_GB2312" w:cs="Times New Roman"/>
          <w:sz w:val="32"/>
          <w:szCs w:val="32"/>
        </w:rPr>
        <w:t>拓展普法渠道</w:t>
      </w:r>
      <w:r>
        <w:rPr>
          <w:rFonts w:ascii="Times New Roman" w:hAnsi="Times New Roman" w:eastAsia="仿宋_GB2312" w:cs="Times New Roman"/>
          <w:sz w:val="32"/>
          <w:szCs w:val="32"/>
        </w:rPr>
        <w:t>，利用短视频、微信、微博以及“以案说法”等行之有效方式，针对性地开展“法律七进”活动。加强督查督办，定期通报推进情况，对法治工作推进不力的严肃问责。</w:t>
      </w:r>
    </w:p>
    <w:p w14:paraId="71050013">
      <w:pPr>
        <w:overflowPunct w:val="0"/>
        <w:autoSpaceDE w:val="0"/>
        <w:autoSpaceDN w:val="0"/>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完善社会治安防控体系。</w:t>
      </w:r>
      <w:r>
        <w:rPr>
          <w:rFonts w:hint="eastAsia" w:ascii="Times New Roman" w:hAnsi="Times New Roman" w:eastAsia="仿宋_GB2312" w:cs="Times New Roman"/>
          <w:sz w:val="32"/>
          <w:szCs w:val="32"/>
        </w:rPr>
        <w:t>突出“建实一个综治中心、健全两项运行机制、实施三大政法战略、建强四个共治阵地、办好五件民生实事、构建六大防范体系、实施七大治理工程”等重点，提高社会治安立体化、法治化、专业化、智能化水平，确保全县刑事发案稳在低位，人民群众安全感稳在高位。常态化推进扫黑除恶</w:t>
      </w:r>
      <w:r>
        <w:rPr>
          <w:rFonts w:hint="eastAsia" w:ascii="Times New Roman" w:hAnsi="Times New Roman" w:eastAsia="仿宋_GB2312" w:cs="Times New Roman"/>
          <w:sz w:val="32"/>
          <w:szCs w:val="32"/>
          <w:lang w:eastAsia="zh-CN"/>
        </w:rPr>
        <w:t>专项</w:t>
      </w:r>
      <w:r>
        <w:rPr>
          <w:rFonts w:hint="eastAsia" w:ascii="Times New Roman" w:hAnsi="Times New Roman" w:eastAsia="仿宋_GB2312" w:cs="Times New Roman"/>
          <w:sz w:val="32"/>
          <w:szCs w:val="32"/>
        </w:rPr>
        <w:t>斗争、禁毒大扫除、“两严一降”升级版。深入推进综治中心三级体系建设，强化大数据在社会治理领域应用，提高治理社会化、法治化、智能化、专业化水平。加快构建全流程数据收集、处置和研判体系，努力形成共建共治共享社会治理格局。按照县委“和、稳、干”的</w:t>
      </w:r>
      <w:r>
        <w:rPr>
          <w:rFonts w:hint="eastAsia" w:ascii="Times New Roman" w:hAnsi="Times New Roman" w:eastAsia="仿宋_GB2312" w:cs="Times New Roman"/>
          <w:sz w:val="32"/>
          <w:szCs w:val="32"/>
          <w:lang w:eastAsia="zh-CN"/>
        </w:rPr>
        <w:t>作风要求</w:t>
      </w:r>
      <w:r>
        <w:rPr>
          <w:rFonts w:hint="eastAsia" w:ascii="Times New Roman" w:hAnsi="Times New Roman" w:eastAsia="仿宋_GB2312" w:cs="Times New Roman"/>
          <w:sz w:val="32"/>
          <w:szCs w:val="32"/>
        </w:rPr>
        <w:t>，坚持专项、系统、依法、综合和源头治理有机结合。形成社会治安联防、矛盾纠纷联调、重点工作联动、突出问题联治、重点人员联管、基层平安联创的机制，推进社会治理现代化。深化完善人民调解组织建设，推进专职人民调解员队伍专业化、规范化。做好安置帮教管理，到</w:t>
      </w:r>
      <w:r>
        <w:rPr>
          <w:rFonts w:ascii="Times New Roman" w:hAnsi="Times New Roman" w:eastAsia="仿宋_GB2312" w:cs="Times New Roman"/>
          <w:sz w:val="32"/>
          <w:szCs w:val="32"/>
        </w:rPr>
        <w:t>2025年建立至少1个过渡性安置基地，妥善解决刑满释放人员回归社会后的临时就业问题。</w:t>
      </w:r>
    </w:p>
    <w:p w14:paraId="3706FF37">
      <w:pPr>
        <w:overflowPunct w:val="0"/>
        <w:autoSpaceDE w:val="0"/>
        <w:autoSpaceDN w:val="0"/>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完善社会治理体系。</w:t>
      </w:r>
      <w:r>
        <w:rPr>
          <w:rFonts w:ascii="Times New Roman" w:hAnsi="Times New Roman" w:eastAsia="仿宋_GB2312" w:cs="Times New Roman"/>
          <w:sz w:val="32"/>
          <w:szCs w:val="32"/>
        </w:rPr>
        <w:t>加快推进县域社会治理体系和治理能力现代化</w:t>
      </w:r>
      <w:r>
        <w:rPr>
          <w:rFonts w:hint="eastAsia" w:ascii="Times New Roman" w:hAnsi="Times New Roman" w:eastAsia="仿宋_GB2312" w:cs="Times New Roman"/>
          <w:sz w:val="32"/>
          <w:szCs w:val="32"/>
        </w:rPr>
        <w:t>，运用好、传承好新时代“枫桥经验”，完善党委领导、政府负责、民主协商、社会协同、公众参与、法治保障、科技支撑的社会治理体系。健全党组织领导的自治、法治、德治相结合的城乡基层治理体系，实现政府治理同社会调节、居民自治良性互动。加强城乡社区治理和服务体系建设，推进“三感社区”创建，构建人人参与、人人尽责、人人享有的基层社会治理新模式。引导社会团体、群众参与社会治理，充分发挥群团组织和社会组织在社会治理中的作用。推动社会治理重心向基层下移，向基层放权赋能。</w:t>
      </w:r>
    </w:p>
    <w:p w14:paraId="18567293">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908" w:name="_Toc8256"/>
      <w:bookmarkStart w:id="909" w:name="_Toc61193840"/>
      <w:bookmarkStart w:id="910" w:name="_Toc24401"/>
      <w:bookmarkStart w:id="911" w:name="_Toc24723"/>
      <w:bookmarkStart w:id="912" w:name="_Toc30569"/>
      <w:bookmarkStart w:id="913" w:name="_Toc13969"/>
      <w:bookmarkStart w:id="914" w:name="_Toc1123"/>
      <w:r>
        <w:rPr>
          <w:rFonts w:hint="eastAsia" w:ascii="方正小标宋简体" w:hAnsi="方正小标宋简体" w:eastAsia="方正小标宋简体" w:cs="方正小标宋简体"/>
          <w:b w:val="0"/>
          <w:bCs w:val="0"/>
          <w:kern w:val="0"/>
        </w:rPr>
        <w:t>第三节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强化国防和“双拥”共建</w:t>
      </w:r>
      <w:bookmarkEnd w:id="908"/>
      <w:bookmarkEnd w:id="909"/>
      <w:bookmarkEnd w:id="910"/>
      <w:bookmarkEnd w:id="911"/>
      <w:bookmarkEnd w:id="912"/>
      <w:bookmarkEnd w:id="913"/>
      <w:bookmarkEnd w:id="914"/>
    </w:p>
    <w:p w14:paraId="1C7F9628">
      <w:pPr>
        <w:overflowPunct w:val="0"/>
        <w:autoSpaceDE w:val="0"/>
        <w:autoSpaceDN w:val="0"/>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设一批贯彻国防要求、城市建设兼顾防护功能的重点项目，推动军地一体应急监测预警、物资储备调拨、动员指挥调度等应急工作建设。建立和完善军地联合、集中统一、结构合理、反应迅速、指挥通畅、权威高效的国防动员运行机制。加强专业保障队伍建设，适时组织开展军地应急应战保障演练，加强民兵综合训练基地建设，推进军用优势食药材生产供应基地规划建设。围绕退役军人权益维护、优抚抚恤、双拥褒扬等，</w:t>
      </w:r>
      <w:r>
        <w:rPr>
          <w:rFonts w:ascii="Times New Roman" w:hAnsi="Times New Roman" w:eastAsia="仿宋_GB2312" w:cs="Times New Roman"/>
          <w:sz w:val="32"/>
          <w:szCs w:val="32"/>
        </w:rPr>
        <w:t>多形式开展双拥宣传教育</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激发军民的爱国热情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形成良好的双拥氛围</w:t>
      </w:r>
      <w:r>
        <w:rPr>
          <w:rFonts w:hint="eastAsia" w:ascii="Times New Roman" w:hAnsi="Times New Roman" w:eastAsia="仿宋_GB2312" w:cs="Times New Roman"/>
          <w:sz w:val="32"/>
          <w:szCs w:val="32"/>
        </w:rPr>
        <w:t>，全力实现创建新一轮全省双拥模范(县)城。实现100%乡镇退役军人服务站全覆盖，建成县、乡、村三级“互联网+退役军人事务网络体系”。加强人民防空和国防后备力量建设，全面建成</w:t>
      </w:r>
      <w:r>
        <w:rPr>
          <w:rFonts w:hint="eastAsia" w:ascii="Times New Roman" w:hAnsi="Times New Roman" w:eastAsia="仿宋_GB2312" w:cs="Times New Roman"/>
          <w:sz w:val="32"/>
          <w:szCs w:val="32"/>
          <w:lang w:eastAsia="zh-CN"/>
        </w:rPr>
        <w:t>县人民武装部</w:t>
      </w:r>
      <w:r>
        <w:rPr>
          <w:rFonts w:hint="eastAsia" w:ascii="Times New Roman" w:hAnsi="Times New Roman" w:eastAsia="仿宋_GB2312" w:cs="Times New Roman"/>
          <w:sz w:val="32"/>
          <w:szCs w:val="32"/>
        </w:rPr>
        <w:t>营房，努力筹建县人民防控指挥系统。完善粮食储备制度，巩固粮食在国防中的战略地位。深化全民国防教育，充分发挥红色资源优势，传承红色基因，加强国防教育阵地建设。推进国防教育普及延伸，开展国防教育“六进”活动，营造“居安思危，忘战必亡”的良好氛围，凝聚发展的正能量。</w:t>
      </w:r>
    </w:p>
    <w:p w14:paraId="52F0E9A3">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915" w:name="_Toc2235"/>
      <w:bookmarkStart w:id="916" w:name="_Toc23274"/>
      <w:bookmarkStart w:id="917" w:name="_Toc61193841"/>
      <w:bookmarkStart w:id="918" w:name="_Toc2855"/>
      <w:bookmarkStart w:id="919" w:name="_Toc30497"/>
      <w:bookmarkStart w:id="920" w:name="_Toc15170"/>
      <w:bookmarkStart w:id="921" w:name="_Toc29919"/>
      <w:r>
        <w:rPr>
          <w:rFonts w:hint="eastAsia" w:ascii="方正小标宋简体" w:hAnsi="方正小标宋简体" w:eastAsia="方正小标宋简体" w:cs="方正小标宋简体"/>
          <w:b w:val="0"/>
          <w:bCs w:val="0"/>
          <w:kern w:val="0"/>
        </w:rPr>
        <w:t>第四节</w:t>
      </w:r>
      <w:r>
        <w:rPr>
          <w:rFonts w:ascii="方正小标宋简体" w:hAnsi="方正小标宋简体" w:eastAsia="方正小标宋简体" w:cs="方正小标宋简体"/>
          <w:b w:val="0"/>
          <w:bCs w:val="0"/>
          <w:kern w:val="0"/>
        </w:rPr>
        <w:t xml:space="preserve">  </w:t>
      </w:r>
      <w:r>
        <w:rPr>
          <w:rFonts w:hint="eastAsia" w:ascii="方正小标宋简体" w:hAnsi="方正小标宋简体" w:eastAsia="方正小标宋简体" w:cs="方正小标宋简体"/>
          <w:b w:val="0"/>
          <w:bCs w:val="0"/>
          <w:kern w:val="0"/>
        </w:rPr>
        <w:t>增强突发事件应急管理能力</w:t>
      </w:r>
      <w:bookmarkEnd w:id="915"/>
      <w:bookmarkEnd w:id="916"/>
      <w:bookmarkEnd w:id="917"/>
      <w:bookmarkEnd w:id="918"/>
      <w:bookmarkEnd w:id="919"/>
      <w:bookmarkEnd w:id="920"/>
      <w:bookmarkEnd w:id="921"/>
    </w:p>
    <w:p w14:paraId="1D6069DD">
      <w:pPr>
        <w:overflowPunct w:val="0"/>
        <w:autoSpaceDE w:val="0"/>
        <w:autoSpaceDN w:val="0"/>
        <w:adjustRightInd w:val="0"/>
        <w:snapToGrid w:val="0"/>
        <w:spacing w:line="52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完善监管执法体系、技术保障体系。</w:t>
      </w:r>
      <w:r>
        <w:rPr>
          <w:rFonts w:hint="eastAsia" w:ascii="Times New Roman" w:hAnsi="Times New Roman" w:eastAsia="仿宋_GB2312" w:cs="Times New Roman"/>
          <w:sz w:val="32"/>
          <w:szCs w:val="32"/>
        </w:rPr>
        <w:t>建立完善安全生产执法检查制度。坚持“四不两直”制度。继续推行网格化动态监管机制，以基层应急网格化管理为基础，以信息化手段为支撑，力争用3年左右时间构建覆盖到所有乡（镇、街道）、村（社区）的基层应急管理网格化服务体系。建立健全“双随机、一公开”工作机制。建立健全现场执法检查与监管平台直连的监管执法技术保障体系，进一步完善安全生产行政执法与刑事司法衔接工作常态化协作机制。在矿山行业继续推进机械化、自动化、信息化和智能化“四化”建设，建设本质安全型企业，在危险化学品生产行业优先推广应用安全监测监控、紧急避险、安全防护、特种安全设施。突出以危险化学品、煤矿、非煤矿山、道路交通、建筑施工、工贸、学校等重点行业领域的安全监管综合工作，常态化制度化地推进安全生产“打非治违”活动。</w:t>
      </w:r>
    </w:p>
    <w:p w14:paraId="508C3575">
      <w:pPr>
        <w:overflowPunct w:val="0"/>
        <w:autoSpaceDE w:val="0"/>
        <w:autoSpaceDN w:val="0"/>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加强对食品药品安全监管。</w:t>
      </w:r>
      <w:r>
        <w:rPr>
          <w:rFonts w:hint="eastAsia" w:ascii="Times New Roman" w:hAnsi="Times New Roman" w:eastAsia="仿宋_GB2312" w:cs="Times New Roman"/>
          <w:sz w:val="32"/>
          <w:szCs w:val="32"/>
        </w:rPr>
        <w:t>严格按照国家法律、法规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逐步实现对食品药品安全信息的共享，提高食品药品等关系人民健康产品和服务的安全保障水平。搭建互联网</w:t>
      </w:r>
      <w:r>
        <w:rPr>
          <w:rFonts w:ascii="Times New Roman" w:hAnsi="Times New Roman" w:eastAsia="仿宋_GB2312" w:cs="Times New Roman"/>
          <w:sz w:val="32"/>
          <w:szCs w:val="32"/>
        </w:rPr>
        <w:t>+食品药品安全监管平台,一键举报假冒伪劣产品。设立“主官负责制”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高度重视食品药品安全</w:t>
      </w:r>
      <w:r>
        <w:rPr>
          <w:rFonts w:hint="eastAsia" w:ascii="Times New Roman" w:hAnsi="Times New Roman" w:eastAsia="仿宋_GB2312" w:cs="Times New Roman"/>
          <w:sz w:val="32"/>
          <w:szCs w:val="32"/>
        </w:rPr>
        <w:t>，让各级主官担任“食药安全总督察”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自上到下高度重视食品药品安全。建立健全专职的食品药品安全监督机构，完善</w:t>
      </w:r>
      <w:r>
        <w:rPr>
          <w:rFonts w:ascii="Times New Roman" w:hAnsi="Times New Roman" w:eastAsia="仿宋_GB2312" w:cs="Times New Roman"/>
          <w:sz w:val="32"/>
          <w:szCs w:val="32"/>
        </w:rPr>
        <w:t>监管链</w:t>
      </w:r>
      <w:r>
        <w:rPr>
          <w:rFonts w:hint="eastAsia" w:ascii="Times New Roman" w:hAnsi="Times New Roman" w:eastAsia="仿宋_GB2312" w:cs="Times New Roman"/>
          <w:sz w:val="32"/>
          <w:szCs w:val="32"/>
        </w:rPr>
        <w:t>，加大监管惩处</w:t>
      </w:r>
      <w:r>
        <w:rPr>
          <w:rFonts w:ascii="Times New Roman" w:hAnsi="Times New Roman" w:eastAsia="仿宋_GB2312" w:cs="Times New Roman"/>
          <w:sz w:val="32"/>
          <w:szCs w:val="32"/>
        </w:rPr>
        <w:t>,重判违法人员。</w:t>
      </w:r>
      <w:r>
        <w:rPr>
          <w:rFonts w:hint="eastAsia" w:ascii="Times New Roman" w:hAnsi="Times New Roman" w:eastAsia="仿宋_GB2312" w:cs="Times New Roman"/>
          <w:sz w:val="32"/>
          <w:szCs w:val="32"/>
        </w:rPr>
        <w:t>建立统一的食品药品安全标准和检测体系</w:t>
      </w:r>
      <w:r>
        <w:rPr>
          <w:rFonts w:ascii="Times New Roman" w:hAnsi="Times New Roman" w:eastAsia="仿宋_GB2312" w:cs="Times New Roman"/>
          <w:sz w:val="32"/>
          <w:szCs w:val="32"/>
        </w:rPr>
        <w:t>,构建信息共享平台。</w:t>
      </w:r>
      <w:r>
        <w:rPr>
          <w:rFonts w:hint="eastAsia" w:ascii="Times New Roman" w:hAnsi="Times New Roman" w:eastAsia="仿宋_GB2312" w:cs="Times New Roman"/>
          <w:sz w:val="32"/>
          <w:szCs w:val="32"/>
        </w:rPr>
        <w:t>食品药品进行“物联网”设计</w:t>
      </w:r>
      <w:r>
        <w:rPr>
          <w:rFonts w:ascii="Times New Roman" w:hAnsi="Times New Roman" w:eastAsia="仿宋_GB2312" w:cs="Times New Roman"/>
          <w:sz w:val="32"/>
          <w:szCs w:val="32"/>
        </w:rPr>
        <w:t>,包装扫码可识别产品信息</w:t>
      </w:r>
      <w:r>
        <w:rPr>
          <w:rFonts w:hint="eastAsia" w:ascii="Times New Roman" w:hAnsi="Times New Roman" w:eastAsia="仿宋_GB2312" w:cs="Times New Roman"/>
          <w:sz w:val="32"/>
          <w:szCs w:val="32"/>
        </w:rPr>
        <w:t>，保每个产品有证生产、来源可追溯、质量可监管。</w:t>
      </w:r>
    </w:p>
    <w:p w14:paraId="75AB7792">
      <w:pPr>
        <w:overflowPunct w:val="0"/>
        <w:autoSpaceDE w:val="0"/>
        <w:autoSpaceDN w:val="0"/>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夯实防灾减灾救灾基础设施建设。</w:t>
      </w:r>
      <w:r>
        <w:rPr>
          <w:rFonts w:hint="eastAsia" w:ascii="Times New Roman" w:hAnsi="Times New Roman" w:eastAsia="仿宋_GB2312" w:cs="Times New Roman"/>
          <w:sz w:val="32"/>
          <w:szCs w:val="32"/>
        </w:rPr>
        <w:t>提升区域防洪标准，不断增强水旱灾害综合防御能力，实施河道治理工程</w:t>
      </w:r>
      <w:r>
        <w:rPr>
          <w:rFonts w:ascii="Times New Roman" w:hAnsi="Times New Roman" w:eastAsia="仿宋_GB2312" w:cs="Times New Roman"/>
          <w:sz w:val="32"/>
          <w:szCs w:val="32"/>
        </w:rPr>
        <w:t>7条，实施山洪沟治理工程2处</w:t>
      </w:r>
      <w:r>
        <w:rPr>
          <w:rFonts w:hint="eastAsia" w:ascii="Times New Roman" w:hAnsi="Times New Roman" w:eastAsia="仿宋_GB2312" w:cs="Times New Roman"/>
          <w:sz w:val="32"/>
          <w:szCs w:val="32"/>
        </w:rPr>
        <w:t>。建设规范的救灾物资储备库约0.6万平方米，建设城市灾害避难场所1万平方米。建设高效规范的灾害应急救援指挥中心，改造县应急指挥中心总面积610平方米。建立物资采购、储备调度管理信息平台。加强人工影响天气工作，优化调整人工影响天气作业站点布局。适时发布预警预报，进一步提升冰雹、洪涝、干旱等灾害天气的应对能力，有效防范洪涝、滑坡等次生灾害。衔接好“防”和“救”的责任链条。建立问题隐患和制度措施“两个清单”及时间表和路线图，尽最大可能减轻灾害事故风险，提高人民群众安全感。</w:t>
      </w:r>
    </w:p>
    <w:p w14:paraId="5283DE16">
      <w:pPr>
        <w:overflowPunct w:val="0"/>
        <w:autoSpaceDE w:val="0"/>
        <w:autoSpaceDN w:val="0"/>
        <w:adjustRightInd w:val="0"/>
        <w:snapToGrid w:val="0"/>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全面完善应急救援体系。</w:t>
      </w:r>
      <w:r>
        <w:rPr>
          <w:rFonts w:hint="eastAsia" w:ascii="Times New Roman" w:hAnsi="Times New Roman" w:eastAsia="仿宋_GB2312" w:cs="Times New Roman"/>
          <w:sz w:val="32"/>
          <w:szCs w:val="32"/>
        </w:rPr>
        <w:t>建设设施完善、系统完善、直观高效的应急指挥信息系统。健全应急预案体系，及时修订各类突发事件应急预案，提升时效性和操作性，每年演练不少于一次，不断增强灾害事故抢险救援能力。健全应急救援体系，建立县、乡（镇、街道）两级安全生产、自然灾害应急救援体系，完善应急抢险机制。健全公共卫生应急保障体系，加强硬件设施建设，人才队伍建设，应急信息化建设，强化投入保障、物资保障、医疗保障，夯实公共卫生应急防控支撑。</w:t>
      </w:r>
      <w:r>
        <w:rPr>
          <w:rFonts w:ascii="Times New Roman" w:hAnsi="Times New Roman" w:eastAsia="仿宋_GB2312" w:cs="Times New Roman"/>
          <w:sz w:val="32"/>
          <w:szCs w:val="32"/>
        </w:rPr>
        <w:t>建立完善乡镇、街道、社区、企业等消防应急队伍和专兼职救援队伍，</w:t>
      </w:r>
      <w:r>
        <w:rPr>
          <w:rFonts w:hint="eastAsia" w:ascii="Times New Roman" w:hAnsi="Times New Roman" w:eastAsia="仿宋_GB2312" w:cs="Times New Roman"/>
          <w:sz w:val="32"/>
          <w:szCs w:val="32"/>
        </w:rPr>
        <w:t>森林防火、地质灾害监测队伍，推进应急备用水源建设。加强应急值班值守，健全完善灾害预警信息发布，突发事件、事故信息报送机制。</w:t>
      </w:r>
    </w:p>
    <w:p w14:paraId="48CF7172">
      <w:pPr>
        <w:spacing w:line="560" w:lineRule="exact"/>
        <w:ind w:firstLine="640" w:firstLineChars="200"/>
        <w:rPr>
          <w:rFonts w:ascii="仿宋_GB2312" w:hAnsi="仿宋_GB2312" w:eastAsia="仿宋_GB2312" w:cs="仿宋_GB2312"/>
          <w:sz w:val="32"/>
          <w:szCs w:val="32"/>
          <w:shd w:val="solid" w:color="FFFFFF" w:fill="FFFFFF"/>
        </w:rPr>
      </w:pPr>
    </w:p>
    <w:p w14:paraId="5007C877">
      <w:pPr>
        <w:pStyle w:val="3"/>
        <w:pageBreakBefore/>
        <w:spacing w:before="312" w:beforeLines="100" w:after="312" w:afterLines="100" w:line="560" w:lineRule="exact"/>
        <w:jc w:val="center"/>
        <w:rPr>
          <w:rFonts w:ascii="仿宋_GB2312" w:hAnsi="仿宋_GB2312" w:eastAsia="仿宋_GB2312" w:cs="仿宋_GB2312"/>
          <w:b w:val="0"/>
          <w:bCs w:val="0"/>
          <w:sz w:val="32"/>
          <w:szCs w:val="32"/>
        </w:rPr>
      </w:pPr>
      <w:bookmarkStart w:id="922" w:name="_Toc6301"/>
      <w:bookmarkStart w:id="923" w:name="_Toc58580345"/>
      <w:bookmarkStart w:id="924" w:name="_Toc2305"/>
      <w:bookmarkStart w:id="925" w:name="_Toc13508"/>
      <w:bookmarkStart w:id="926" w:name="_Toc4396"/>
      <w:bookmarkStart w:id="927" w:name="_Toc10636"/>
      <w:bookmarkStart w:id="928" w:name="_Toc13157"/>
      <w:bookmarkStart w:id="929" w:name="_Toc28583"/>
      <w:bookmarkStart w:id="930" w:name="_Toc61193842"/>
      <w:bookmarkStart w:id="931" w:name="_Toc29184"/>
      <w:bookmarkStart w:id="932" w:name="_Toc20021"/>
      <w:bookmarkStart w:id="933" w:name="_Toc12646"/>
      <w:bookmarkStart w:id="934" w:name="_Toc21649"/>
      <w:bookmarkStart w:id="935" w:name="_Toc30574"/>
      <w:bookmarkStart w:id="936" w:name="_Toc21634"/>
      <w:bookmarkStart w:id="937" w:name="_Toc5044"/>
      <w:bookmarkStart w:id="938" w:name="_Toc47098283"/>
      <w:r>
        <w:rPr>
          <w:rFonts w:hint="eastAsia" w:ascii="方正小标宋简体" w:hAnsi="方正小标宋简体" w:eastAsia="方正小标宋简体" w:cs="方正小标宋简体"/>
          <w:b w:val="0"/>
          <w:bCs w:val="0"/>
          <w:sz w:val="36"/>
          <w:szCs w:val="36"/>
        </w:rPr>
        <w:t xml:space="preserve">第十五章 </w:t>
      </w:r>
      <w:r>
        <w:rPr>
          <w:rFonts w:ascii="方正小标宋简体" w:hAnsi="方正小标宋简体" w:eastAsia="方正小标宋简体" w:cs="方正小标宋简体"/>
          <w:b w:val="0"/>
          <w:bCs w:val="0"/>
          <w:sz w:val="36"/>
          <w:szCs w:val="36"/>
        </w:rPr>
        <w:t xml:space="preserve"> </w:t>
      </w:r>
      <w:r>
        <w:rPr>
          <w:rFonts w:hint="eastAsia" w:ascii="方正小标宋简体" w:hAnsi="方正小标宋简体" w:eastAsia="方正小标宋简体" w:cs="方正小标宋简体"/>
          <w:b w:val="0"/>
          <w:bCs w:val="0"/>
          <w:sz w:val="36"/>
          <w:szCs w:val="36"/>
        </w:rPr>
        <w:t>坚持党的全面领导</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为规划</w:t>
      </w:r>
      <w:r>
        <w:rPr>
          <w:rFonts w:hint="eastAsia" w:ascii="方正小标宋简体" w:hAnsi="方正小标宋简体" w:eastAsia="方正小标宋简体" w:cs="方正小标宋简体"/>
          <w:b w:val="0"/>
          <w:bCs w:val="0"/>
          <w:sz w:val="36"/>
          <w:szCs w:val="36"/>
          <w:lang w:val="en-US" w:eastAsia="zh-CN"/>
        </w:rPr>
        <w:t>落地</w:t>
      </w:r>
      <w:r>
        <w:rPr>
          <w:rFonts w:hint="eastAsia" w:ascii="方正小标宋简体" w:hAnsi="方正小标宋简体" w:eastAsia="方正小标宋简体" w:cs="方正小标宋简体"/>
          <w:b w:val="0"/>
          <w:bCs w:val="0"/>
          <w:sz w:val="36"/>
          <w:szCs w:val="36"/>
        </w:rPr>
        <w:t>提供保障</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36243D04">
      <w:pPr>
        <w:overflowPunct w:val="0"/>
        <w:autoSpaceDE w:val="0"/>
        <w:autoSpaceDN w:val="0"/>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实现“十四五”规划和二〇三五年远景目标，必须坚持和加强党的全面领导，充分调动一切积极因素，广泛团结一切可以团结的力量，凝聚形成推动高质量发展的强大合力。</w:t>
      </w:r>
    </w:p>
    <w:p w14:paraId="196B2BFD">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939" w:name="_Toc19908"/>
      <w:bookmarkStart w:id="940" w:name="_Toc2913"/>
      <w:bookmarkStart w:id="941" w:name="_Toc15263"/>
      <w:bookmarkStart w:id="942" w:name="_Toc15185"/>
      <w:bookmarkStart w:id="943" w:name="_Toc14901"/>
      <w:bookmarkStart w:id="944" w:name="_Toc25870"/>
      <w:bookmarkStart w:id="945" w:name="_Toc61193843"/>
      <w:r>
        <w:rPr>
          <w:rFonts w:hint="eastAsia" w:ascii="方正小标宋简体" w:hAnsi="方正小标宋简体" w:eastAsia="方正小标宋简体" w:cs="方正小标宋简体"/>
          <w:b w:val="0"/>
          <w:bCs w:val="0"/>
          <w:kern w:val="0"/>
        </w:rPr>
        <w:t>第一节  坚持大党建促大发展</w:t>
      </w:r>
      <w:bookmarkEnd w:id="939"/>
      <w:bookmarkEnd w:id="940"/>
      <w:bookmarkEnd w:id="941"/>
      <w:bookmarkEnd w:id="942"/>
      <w:bookmarkEnd w:id="943"/>
      <w:bookmarkEnd w:id="944"/>
      <w:bookmarkEnd w:id="945"/>
    </w:p>
    <w:p w14:paraId="2CCA63A8">
      <w:pPr>
        <w:overflowPunct w:val="0"/>
        <w:autoSpaceDE w:val="0"/>
        <w:autoSpaceDN w:val="0"/>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贯彻党委把方向、谋大局、定政策、促改革的要求，坚持党中央集中统一领导，推动全县各级党组织和党员干部深入学习贯彻习近平新时代中国特色社会主义思想，增强“四个意识”、坚定“四个自信”、做到“两个维护”，完善上下贯通、执行有力的组织体系，确保党中央</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省委、市委</w:t>
      </w:r>
      <w:r>
        <w:rPr>
          <w:rFonts w:hint="eastAsia" w:ascii="Times New Roman" w:hAnsi="Times New Roman" w:eastAsia="仿宋_GB2312" w:cs="Times New Roman"/>
          <w:sz w:val="32"/>
          <w:szCs w:val="32"/>
          <w:lang w:eastAsia="zh-CN"/>
        </w:rPr>
        <w:t>、县委</w:t>
      </w:r>
      <w:r>
        <w:rPr>
          <w:rFonts w:hint="eastAsia" w:ascii="Times New Roman" w:hAnsi="Times New Roman" w:eastAsia="仿宋_GB2312" w:cs="Times New Roman"/>
          <w:sz w:val="32"/>
          <w:szCs w:val="32"/>
        </w:rPr>
        <w:t>决策部署在息烽有效落实。深入贯彻落实新时代党的建设总要求，以提升组织力为重点，持续巩固党支部标准化规范化建设，打造党建示范带集群，创建党建工作品牌，推动基层党组织全面进步、全面过硬，实现以高质量党建引领和保障高质量发展。践行初心使命，扎实推进党的建设，全面提高新发展阶段党的各项建设和工作质量，认真落实全面从严治党主体责任、监督责任。加强党对经济社会发展的统筹协调，不断健全党领导经济社会发展的体制机制，发挥各级党委（党组）领导核心作用，完善大党建统领大发展的工作格局，促进经济社会发展实现新突破。根据管党治党要求，统筹党的建设与经济社会发展同部署、同检查、同考核，坚持问题导向、目标导向、</w:t>
      </w:r>
      <w:r>
        <w:rPr>
          <w:rFonts w:hint="eastAsia" w:ascii="Times New Roman" w:hAnsi="Times New Roman" w:eastAsia="仿宋_GB2312" w:cs="Times New Roman"/>
          <w:sz w:val="32"/>
          <w:szCs w:val="32"/>
          <w:lang w:eastAsia="zh-CN"/>
        </w:rPr>
        <w:t>过程导向、</w:t>
      </w:r>
      <w:r>
        <w:rPr>
          <w:rFonts w:hint="eastAsia" w:ascii="Times New Roman" w:hAnsi="Times New Roman" w:eastAsia="仿宋_GB2312" w:cs="Times New Roman"/>
          <w:sz w:val="32"/>
          <w:szCs w:val="32"/>
        </w:rPr>
        <w:t>结果导向，建立时间表和路线图，将党的建设与经济社会发展工作清单化、项目化、具体化。建立党建联系点领导“一岗双责”制度，努力推进目标任务的落实。</w:t>
      </w:r>
    </w:p>
    <w:p w14:paraId="5FA1A4F7">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946" w:name="_Toc7802"/>
      <w:bookmarkStart w:id="947" w:name="_Toc5681"/>
      <w:bookmarkStart w:id="948" w:name="_Toc18743"/>
      <w:bookmarkStart w:id="949" w:name="_Toc61193844"/>
      <w:bookmarkStart w:id="950" w:name="_Toc4159"/>
      <w:bookmarkStart w:id="951" w:name="_Toc11654"/>
      <w:bookmarkStart w:id="952" w:name="_Toc24234"/>
      <w:r>
        <w:rPr>
          <w:rFonts w:hint="eastAsia" w:ascii="方正小标宋简体" w:hAnsi="方正小标宋简体" w:eastAsia="方正小标宋简体" w:cs="方正小标宋简体"/>
          <w:b w:val="0"/>
          <w:bCs w:val="0"/>
          <w:kern w:val="0"/>
        </w:rPr>
        <w:t>第二节  持续营造风清气正良好政治生态</w:t>
      </w:r>
      <w:bookmarkEnd w:id="946"/>
      <w:bookmarkEnd w:id="947"/>
      <w:bookmarkEnd w:id="948"/>
      <w:bookmarkEnd w:id="949"/>
      <w:bookmarkEnd w:id="950"/>
      <w:bookmarkEnd w:id="951"/>
      <w:bookmarkEnd w:id="952"/>
    </w:p>
    <w:p w14:paraId="5EF8CF17">
      <w:pPr>
        <w:overflowPunct w:val="0"/>
        <w:autoSpaceDE w:val="0"/>
        <w:autoSpaceDN w:val="0"/>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严”的主基调，落实“和、稳、干”作风要求，严明政治纪律和政治规矩，不断深化党的自我革命，一以贯之、坚定不移推进全面从严治党。持续巩固“不忘初心、牢记使命”主题教育成果，锲而不舍落实中央八项规定精神，持续纠治形式主义、官僚主义，驰而不息纠正“四风”。深入推进反腐倡廉警示教育和党性教育，锤炼干部忠诚干净担当的政治品格。强化政治监督，加强对“一把手”和领导班子的监督，坚持党内监督与人大、政协、审计、群众、舆论等监督统筹衔接，强化对公权力运行的制约和监督。深化政治巡察，一体推进不敢腐、不能腐、不想腐体制机制建设，推动全面从严治党向基层一线、向群众身边延伸，严肃整治群众身边的不正之风和腐败问题，营造风清气正的良好政治生态。聚焦基层减负，推动形成求真务实、真抓实干的浓厚氛围。</w:t>
      </w:r>
    </w:p>
    <w:p w14:paraId="1B66F907">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953" w:name="_Toc61193845"/>
      <w:bookmarkStart w:id="954" w:name="_Toc12725"/>
      <w:bookmarkStart w:id="955" w:name="_Toc6598"/>
      <w:bookmarkStart w:id="956" w:name="_Toc21815"/>
      <w:bookmarkStart w:id="957" w:name="_Toc3684"/>
      <w:bookmarkStart w:id="958" w:name="_Toc6975"/>
      <w:bookmarkStart w:id="959" w:name="_Toc25206"/>
      <w:r>
        <w:rPr>
          <w:rFonts w:hint="eastAsia" w:ascii="方正小标宋简体" w:hAnsi="方正小标宋简体" w:eastAsia="方正小标宋简体" w:cs="方正小标宋简体"/>
          <w:b w:val="0"/>
          <w:bCs w:val="0"/>
          <w:kern w:val="0"/>
        </w:rPr>
        <w:t>第三节  发展社会主义民主政治</w:t>
      </w:r>
      <w:bookmarkEnd w:id="953"/>
      <w:bookmarkEnd w:id="954"/>
      <w:bookmarkEnd w:id="955"/>
      <w:bookmarkEnd w:id="956"/>
      <w:bookmarkEnd w:id="957"/>
      <w:bookmarkEnd w:id="958"/>
      <w:bookmarkEnd w:id="959"/>
    </w:p>
    <w:p w14:paraId="35D037B1">
      <w:pPr>
        <w:overflowPunct w:val="0"/>
        <w:autoSpaceDE w:val="0"/>
        <w:autoSpaceDN w:val="0"/>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以人民为中心的发展思想，全面贯彻党的群众路线，完善党员干部联系群众制度，创新群众工作方式，始终做到发展为了人民，发展依靠人民。加强党对人大工作的领导，支持人大及其常委会依法履行职能，加强人大对“一府两院一委”监督，依法行使监督权、重大事项决定权，更好地发挥人大代表作用。坚持和完善中国共产党领导的多党合作和政治协商制度，推进政治协商、民主监督、参政议政制度建设，发挥社会主义协商民主独特优势，提高建言资政和凝聚共识水平。全面贯彻党的宗教工作基本方针，积极引导宗教与社会主义社会相适应。健全基层群众自治制度，增强群众自我管理、自我服务、自我教育、自我监督实效。充分发挥工会、共青团、妇联等人民团体作用，保持和增强政治性、先进性、群众性，切实把各自联系的群众紧紧凝聚在党的周围。完善大统战工作格局，促进政党关系、民族关系、宗教关系、阶层关系、海内外同胞关系和谐，巩固和发展最广泛的爱国统一战线。</w:t>
      </w:r>
    </w:p>
    <w:p w14:paraId="20AE9E75">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960" w:name="_Toc5117"/>
      <w:bookmarkStart w:id="961" w:name="_Toc13669"/>
      <w:bookmarkStart w:id="962" w:name="_Toc9807"/>
      <w:bookmarkStart w:id="963" w:name="_Toc6313"/>
      <w:bookmarkStart w:id="964" w:name="_Toc61193846"/>
      <w:bookmarkStart w:id="965" w:name="_Toc4044"/>
      <w:bookmarkStart w:id="966" w:name="_Toc13740"/>
      <w:r>
        <w:rPr>
          <w:rFonts w:hint="eastAsia" w:ascii="方正小标宋简体" w:hAnsi="方正小标宋简体" w:eastAsia="方正小标宋简体" w:cs="方正小标宋简体"/>
          <w:b w:val="0"/>
          <w:bCs w:val="0"/>
          <w:kern w:val="0"/>
        </w:rPr>
        <w:t>第四节  确保发展用地需要和投入保障</w:t>
      </w:r>
      <w:bookmarkEnd w:id="960"/>
      <w:bookmarkEnd w:id="961"/>
      <w:bookmarkEnd w:id="962"/>
      <w:bookmarkEnd w:id="963"/>
      <w:bookmarkEnd w:id="964"/>
      <w:bookmarkEnd w:id="965"/>
      <w:bookmarkEnd w:id="966"/>
    </w:p>
    <w:p w14:paraId="03300862">
      <w:pPr>
        <w:overflowPunct w:val="0"/>
        <w:autoSpaceDE w:val="0"/>
        <w:autoSpaceDN w:val="0"/>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强化国土空间规划和用途管控</w:t>
      </w:r>
      <w:r>
        <w:rPr>
          <w:rFonts w:hint="eastAsia" w:ascii="Times New Roman" w:hAnsi="Times New Roman" w:eastAsia="仿宋_GB2312" w:cs="Times New Roman"/>
          <w:sz w:val="32"/>
          <w:szCs w:val="32"/>
        </w:rPr>
        <w:t>，以国土空间规划体系为抓手，严控开发强度，解决好各类规划不衔接、不协调问题。要体现强制性，规划经过批准后必须严格执行。强化规划实施监督，严肃查处各类违反规划的开发建设行为。强化规划权威，改进规划审批，健全用途管制，监督规划实施。严格执行国家土地供应政策，规范土地供应方式，按照“统筹安排、突出重点、区别对待、有保有压”的原则，统筹城乡各业各类用地，确保土地可持续利用。完善土地收储，统筹安排土地供应总量、结构、空间布局和时序，制定土地储备规划和土地储备开发计划。</w:t>
      </w:r>
    </w:p>
    <w:p w14:paraId="2530BD80">
      <w:pPr>
        <w:overflowPunct w:val="0"/>
        <w:autoSpaceDE w:val="0"/>
        <w:autoSpaceDN w:val="0"/>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盘活存量用地促进集约节约用地。</w:t>
      </w:r>
      <w:r>
        <w:rPr>
          <w:rFonts w:hint="eastAsia" w:ascii="Times New Roman" w:hAnsi="Times New Roman" w:eastAsia="仿宋_GB2312" w:cs="Times New Roman"/>
          <w:sz w:val="32"/>
          <w:szCs w:val="32"/>
        </w:rPr>
        <w:t>建立健全政府主导、部门协同、公众参与的工作机制。积极开展城镇土地管理制度改革，提高土地利用效率。科学编制和实施存量建设用地盘活专项规划，鼓励用地企业内部挖潜，盘活低效用地，加快推进“批而未供”土地开发利用、“供而未用”土地处置利用。树立经营城市发展理念，健全城市土地资本运营机制。探索“点状供地”保障农村产业发展。保障进城落户农民土地承包权、宅基地使用权、集体收益分配权，鼓励依法自愿有偿转让。进一步推进“净地”出让土地，对经营性土地实行“六统一”管理，即“统一规划、统一收储、统一出让、统一平台交易、统一出让金收缴、统一监管”。结合土地储备规划，计划出让土地801.30公顷。</w:t>
      </w:r>
    </w:p>
    <w:p w14:paraId="51CBCC77">
      <w:pPr>
        <w:overflowPunct w:val="0"/>
        <w:autoSpaceDE w:val="0"/>
        <w:autoSpaceDN w:val="0"/>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抓实财源建设，发挥专项资金引导作用。</w:t>
      </w:r>
      <w:r>
        <w:rPr>
          <w:rFonts w:hint="eastAsia" w:ascii="Times New Roman" w:hAnsi="Times New Roman" w:eastAsia="仿宋_GB2312" w:cs="Times New Roman"/>
          <w:bCs/>
          <w:sz w:val="32"/>
          <w:szCs w:val="32"/>
        </w:rPr>
        <w:t>大力发展实体经济，加大引进和培育对就业、财税贡献大的企业，挖掘财税增收潜力。对一般公共预算收入、向上争取资金和政府性基金收入制定计划，将向上争取资金任务纳入年度考核范围。优化财政支出结构，做好重点领域保障，把有限的财政资金用在“刀刃”上，切实做到“有保有压”。将绩效目标与预算同步批复下达，提升绩效目标约束力。</w:t>
      </w:r>
      <w:r>
        <w:rPr>
          <w:rFonts w:hint="eastAsia" w:ascii="Times New Roman" w:hAnsi="Times New Roman" w:eastAsia="仿宋_GB2312" w:cs="Times New Roman"/>
          <w:sz w:val="32"/>
          <w:szCs w:val="32"/>
        </w:rPr>
        <w:t>充分发挥财政专项资金导向作用，引导社会资金投入，提高财政资金使用效率与杠杆效应，加强资金滚动使用和动态增长，对规划确定的重点行业、重点园区、重点企业和重点产品，县财政资金要给予重点支持、优先安排。创新财政专项资金支持企业发展的方式，积极探索建立产业发展基金、资本金入股等有效方式。强化跟踪监管,确保资金高效、公平、公正、公开使用，着力营造财政资金支持企业发展良好环境。健全农村金融服务体系，发展农业保险。</w:t>
      </w:r>
    </w:p>
    <w:p w14:paraId="0EB96D43">
      <w:pPr>
        <w:overflowPunct w:val="0"/>
        <w:autoSpaceDE w:val="0"/>
        <w:autoSpaceDN w:val="0"/>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扩大筹资路径，提升财政治理能力。</w:t>
      </w:r>
      <w:r>
        <w:rPr>
          <w:rFonts w:hint="eastAsia" w:ascii="Times New Roman" w:hAnsi="Times New Roman" w:eastAsia="仿宋_GB2312" w:cs="Times New Roman"/>
          <w:sz w:val="32"/>
          <w:szCs w:val="32"/>
        </w:rPr>
        <w:t>争取新引进</w:t>
      </w:r>
      <w:r>
        <w:rPr>
          <w:rFonts w:ascii="Times New Roman" w:hAnsi="Times New Roman" w:eastAsia="仿宋_GB2312" w:cs="Times New Roman"/>
          <w:sz w:val="32"/>
          <w:szCs w:val="32"/>
        </w:rPr>
        <w:t>金融机构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证券机构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保险公司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小额贷款公司</w:t>
      </w:r>
      <w:r>
        <w:rPr>
          <w:rFonts w:hint="eastAsia" w:ascii="Times New Roman" w:hAnsi="Times New Roman" w:eastAsia="仿宋_GB2312" w:cs="Times New Roman"/>
          <w:sz w:val="32"/>
          <w:szCs w:val="32"/>
        </w:rPr>
        <w:t>入驻息烽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注重创新融资模式和鼓励引入社会民营资本。完善融资担保体系，加快建立企业信用评价系统。改革创新金融服务，支持金融组织运用金融科技手段提高服务质量与效率，引入更多金融活水助力实体经济发展。鼓励和扶持符合条件的企业利用上市以及发行短期融资券、中期票据、企业债、公司债等直接融资方式筹集资金。常态化开展政金企对接工作，畅通融资信息，针对符合县域发展的相关政策项目，会同驻县金融机构进行协商、洽谈，确保项目融资得以落实。引导银行加强对中小微企业的信贷支持，推动在息银行开展金融产品和服务创新，不断扩大对县域企业的信贷规模。引导扩大县属国有企业有效资产规模，推进融资平台市场化转型。强化“政金企”合作，积极推广PPP模式，推动重大项目建设。“扎笼子、堵漏洞、强监管”，依托财政核心业务一体化系统等信息化工具提升监管能力，建立健全财政资金分配使用全程留痕、责任可追溯的监管机制，不断提升财政管理效能和资金使用效益。全面推行财政电子票据，提高非税收入收缴效率。健全预算管理制度，推进零基预算改革，使得预算和绩效管理一体化，更好地运用绩效管理手段强化激励和约束。</w:t>
      </w:r>
    </w:p>
    <w:p w14:paraId="20ED0AB1">
      <w:pPr>
        <w:pStyle w:val="4"/>
        <w:spacing w:before="312" w:beforeLines="100" w:after="312" w:afterLines="100" w:line="560" w:lineRule="exact"/>
        <w:jc w:val="center"/>
        <w:rPr>
          <w:rFonts w:ascii="方正小标宋简体" w:hAnsi="方正小标宋简体" w:eastAsia="方正小标宋简体" w:cs="方正小标宋简体"/>
          <w:b w:val="0"/>
          <w:bCs w:val="0"/>
          <w:kern w:val="0"/>
        </w:rPr>
      </w:pPr>
      <w:bookmarkStart w:id="967" w:name="_Toc995"/>
      <w:bookmarkStart w:id="968" w:name="_Toc61193847"/>
      <w:bookmarkStart w:id="969" w:name="_Toc15989"/>
      <w:bookmarkStart w:id="970" w:name="_Toc32679"/>
      <w:bookmarkStart w:id="971" w:name="_Toc22675"/>
      <w:bookmarkStart w:id="972" w:name="_Toc17118"/>
      <w:bookmarkStart w:id="973" w:name="_Toc19472"/>
      <w:r>
        <w:rPr>
          <w:rFonts w:hint="eastAsia" w:ascii="方正小标宋简体" w:hAnsi="方正小标宋简体" w:eastAsia="方正小标宋简体" w:cs="方正小标宋简体"/>
          <w:b w:val="0"/>
          <w:bCs w:val="0"/>
          <w:kern w:val="0"/>
        </w:rPr>
        <w:t>第五节  强化规划落地落实</w:t>
      </w:r>
      <w:r>
        <w:rPr>
          <w:rFonts w:hint="eastAsia" w:ascii="方正小标宋简体" w:hAnsi="方正小标宋简体" w:eastAsia="方正小标宋简体" w:cs="方正小标宋简体"/>
          <w:b w:val="0"/>
          <w:bCs w:val="0"/>
          <w:kern w:val="0"/>
          <w:lang w:val="en-US" w:eastAsia="zh-CN"/>
        </w:rPr>
        <w:t xml:space="preserve">  </w:t>
      </w:r>
      <w:r>
        <w:rPr>
          <w:rFonts w:hint="eastAsia" w:ascii="方正小标宋简体" w:hAnsi="方正小标宋简体" w:eastAsia="方正小标宋简体" w:cs="方正小标宋简体"/>
          <w:b w:val="0"/>
          <w:bCs w:val="0"/>
          <w:kern w:val="0"/>
        </w:rPr>
        <w:t>确保蓝图开花结果</w:t>
      </w:r>
      <w:bookmarkEnd w:id="967"/>
      <w:bookmarkEnd w:id="968"/>
      <w:bookmarkEnd w:id="969"/>
      <w:bookmarkEnd w:id="970"/>
      <w:bookmarkEnd w:id="971"/>
      <w:bookmarkEnd w:id="972"/>
      <w:bookmarkEnd w:id="973"/>
    </w:p>
    <w:p w14:paraId="3348A73F">
      <w:pPr>
        <w:overflowPunct w:val="0"/>
        <w:autoSpaceDE w:val="0"/>
        <w:autoSpaceDN w:val="0"/>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强化组织协调机制。</w:t>
      </w:r>
      <w:r>
        <w:rPr>
          <w:rFonts w:hint="eastAsia" w:ascii="Times New Roman" w:hAnsi="Times New Roman" w:eastAsia="仿宋_GB2312" w:cs="Times New Roman"/>
          <w:bCs/>
          <w:sz w:val="32"/>
          <w:szCs w:val="32"/>
        </w:rPr>
        <w:t>“十四五”规划是息烽未来五年发展的蓝图，各级各部门都要学规划、守规划、用规划，自觉将经济社会发展各项工作融入规划，强化大局意识和全县一盘棋意识。健全规划制定和落实机制，</w:t>
      </w:r>
      <w:r>
        <w:rPr>
          <w:rFonts w:hint="eastAsia" w:ascii="Times New Roman" w:hAnsi="Times New Roman" w:eastAsia="仿宋_GB2312" w:cs="Times New Roman"/>
          <w:sz w:val="32"/>
          <w:szCs w:val="32"/>
        </w:rPr>
        <w:t>强化对规划落实的组织领导，对规划实施的战略重点和方向路径统筹部署和科学决策，及时解决各种重大问题，做好中期评估，确保规划顺利实施。将规划落地落实清单化、项目化，强化各部门之间、部门与社会各界之间的协调配合，形成联动效应和规划合力，切实保障各项目的实施。</w:t>
      </w:r>
    </w:p>
    <w:p w14:paraId="3B696EBF">
      <w:pPr>
        <w:overflowPunct w:val="0"/>
        <w:autoSpaceDE w:val="0"/>
        <w:autoSpaceDN w:val="0"/>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紧盯项目落地建设。</w:t>
      </w:r>
      <w:r>
        <w:rPr>
          <w:rFonts w:hint="eastAsia" w:ascii="Times New Roman" w:hAnsi="Times New Roman" w:eastAsia="仿宋_GB2312" w:cs="Times New Roman"/>
          <w:bCs/>
          <w:sz w:val="32"/>
          <w:szCs w:val="32"/>
        </w:rPr>
        <w:t>一分部署，九分落实。“十四五”规划蓝图要实现，必须把项目建设作为发展的“牛鼻子”，无论是近期稳增长，还是长期转方式调结</w:t>
      </w:r>
      <w:r>
        <w:rPr>
          <w:rFonts w:hint="eastAsia" w:ascii="Times New Roman" w:hAnsi="Times New Roman" w:eastAsia="仿宋_GB2312" w:cs="Times New Roman"/>
          <w:sz w:val="32"/>
          <w:szCs w:val="32"/>
        </w:rPr>
        <w:t>构，都要始终把重大投资项目、重大产业项目作为全局工作的“牛鼻子”，以重大项目的突破引领全局工作的突破，以项目工作的领先支撑经济社会发展水平的领先。规划需要项目化，绝对不允许空化、泛化、概念化，要把机遇变成项目，把优势变成项目，把“四化”变成项目。要扎实把抓好项目谋划、策划包装、争取、招引、建设作为工作的重中之重，切实从项目推进的各环节、全过程入手，以项目建设推动县域经济发展。</w:t>
      </w:r>
    </w:p>
    <w:p w14:paraId="2DDE74DE">
      <w:pPr>
        <w:overflowPunct w:val="0"/>
        <w:autoSpaceDE w:val="0"/>
        <w:autoSpaceDN w:val="0"/>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加强规划实施保障。</w:t>
      </w:r>
      <w:r>
        <w:rPr>
          <w:rFonts w:hint="eastAsia" w:ascii="Times New Roman" w:hAnsi="Times New Roman" w:eastAsia="仿宋_GB2312" w:cs="Times New Roman"/>
          <w:sz w:val="32"/>
          <w:szCs w:val="32"/>
        </w:rPr>
        <w:t>“十四五”各专项规划原则上在本规划审议通过之日起半年内修订完毕，并按照程序审定印发全县实施。县人民政府定期向县人大常委会报告、向县政协常委会通报规划实施情况，并配合县人大、县政协组织开展调查研究。县政府各部门、乡镇街道要按照规划目标和任务，制定规划实施的相关政策，加强宏观监测预警与各项资源的协调配合，加强规划实施的监督检查与评估，确保蓝图开花结果。</w:t>
      </w:r>
    </w:p>
    <w:p w14:paraId="43248FC4">
      <w:pPr>
        <w:overflowPunct w:val="0"/>
        <w:autoSpaceDE w:val="0"/>
        <w:autoSpaceDN w:val="0"/>
        <w:adjustRightInd w:val="0"/>
        <w:snapToGrid w:val="0"/>
        <w:spacing w:line="560" w:lineRule="exact"/>
        <w:ind w:firstLine="640" w:firstLineChars="200"/>
        <w:rPr>
          <w:rFonts w:ascii="Times New Roman" w:hAnsi="Times New Roman" w:eastAsia="仿宋_GB2312" w:cs="Times New Roman"/>
          <w:sz w:val="32"/>
          <w:szCs w:val="32"/>
        </w:rPr>
      </w:pPr>
    </w:p>
    <w:bookmarkEnd w:id="746"/>
    <w:bookmarkEnd w:id="938"/>
    <w:p w14:paraId="7DCC396F">
      <w:pPr>
        <w:overflowPunct w:val="0"/>
        <w:autoSpaceDE w:val="0"/>
        <w:autoSpaceDN w:val="0"/>
        <w:adjustRightInd w:val="0"/>
        <w:snapToGrid w:val="0"/>
        <w:spacing w:line="560" w:lineRule="exact"/>
        <w:ind w:firstLine="640" w:firstLineChars="200"/>
        <w:rPr>
          <w:rFonts w:ascii="仿宋_GB2312" w:hAnsi="仿宋_GB2312" w:eastAsia="仿宋_GB2312" w:cs="仿宋_GB2312"/>
          <w:sz w:val="32"/>
          <w:szCs w:val="32"/>
        </w:rPr>
      </w:pPr>
    </w:p>
    <w:p w14:paraId="7DA1DA97">
      <w:pPr>
        <w:pStyle w:val="2"/>
        <w:rPr>
          <w:rFonts w:ascii="仿宋_GB2312" w:hAnsi="仿宋_GB2312" w:eastAsia="仿宋_GB2312" w:cs="仿宋_GB2312"/>
          <w:sz w:val="32"/>
          <w:szCs w:val="32"/>
        </w:rPr>
      </w:pPr>
    </w:p>
    <w:p w14:paraId="2E36DE44">
      <w:pPr>
        <w:pStyle w:val="2"/>
        <w:rPr>
          <w:rFonts w:ascii="仿宋_GB2312" w:hAnsi="仿宋_GB2312" w:eastAsia="仿宋_GB2312" w:cs="仿宋_GB2312"/>
          <w:sz w:val="32"/>
          <w:szCs w:val="32"/>
        </w:rPr>
      </w:pPr>
    </w:p>
    <w:p w14:paraId="02CE57F7">
      <w:pPr>
        <w:pStyle w:val="2"/>
        <w:rPr>
          <w:rFonts w:ascii="仿宋_GB2312" w:hAnsi="仿宋_GB2312" w:eastAsia="仿宋_GB2312" w:cs="仿宋_GB2312"/>
          <w:sz w:val="32"/>
          <w:szCs w:val="32"/>
        </w:rPr>
      </w:pPr>
    </w:p>
    <w:p w14:paraId="104F581C">
      <w:pPr>
        <w:pStyle w:val="2"/>
        <w:rPr>
          <w:rFonts w:ascii="仿宋_GB2312" w:hAnsi="仿宋_GB2312" w:eastAsia="仿宋_GB2312" w:cs="仿宋_GB2312"/>
          <w:sz w:val="32"/>
          <w:szCs w:val="32"/>
        </w:rPr>
      </w:pPr>
    </w:p>
    <w:p w14:paraId="06DA6BD5">
      <w:pPr>
        <w:pStyle w:val="2"/>
        <w:rPr>
          <w:rFonts w:ascii="仿宋_GB2312" w:hAnsi="仿宋_GB2312" w:eastAsia="仿宋_GB2312" w:cs="仿宋_GB2312"/>
          <w:sz w:val="32"/>
          <w:szCs w:val="32"/>
        </w:rPr>
      </w:pPr>
    </w:p>
    <w:p w14:paraId="43E11FC7">
      <w:pPr>
        <w:pStyle w:val="2"/>
        <w:rPr>
          <w:rFonts w:ascii="仿宋_GB2312" w:hAnsi="仿宋_GB2312" w:eastAsia="仿宋_GB2312" w:cs="仿宋_GB2312"/>
          <w:sz w:val="32"/>
          <w:szCs w:val="32"/>
        </w:rPr>
      </w:pPr>
    </w:p>
    <w:p w14:paraId="3C56A5CA">
      <w:pPr>
        <w:pStyle w:val="2"/>
        <w:rPr>
          <w:rFonts w:ascii="仿宋_GB2312" w:hAnsi="仿宋_GB2312" w:eastAsia="仿宋_GB2312" w:cs="仿宋_GB2312"/>
          <w:sz w:val="32"/>
          <w:szCs w:val="32"/>
        </w:rPr>
      </w:pPr>
    </w:p>
    <w:p w14:paraId="5E3EFA77">
      <w:pPr>
        <w:pStyle w:val="2"/>
        <w:rPr>
          <w:rFonts w:ascii="仿宋_GB2312" w:hAnsi="仿宋_GB2312" w:eastAsia="仿宋_GB2312" w:cs="仿宋_GB2312"/>
          <w:sz w:val="32"/>
          <w:szCs w:val="32"/>
        </w:rPr>
      </w:pPr>
    </w:p>
    <w:p w14:paraId="29E5F7AB">
      <w:pPr>
        <w:pStyle w:val="2"/>
        <w:rPr>
          <w:rFonts w:ascii="仿宋_GB2312" w:hAnsi="仿宋_GB2312" w:eastAsia="仿宋_GB2312" w:cs="仿宋_GB2312"/>
          <w:sz w:val="32"/>
          <w:szCs w:val="32"/>
        </w:rPr>
      </w:pPr>
    </w:p>
    <w:p w14:paraId="14938A16">
      <w:pPr>
        <w:pStyle w:val="2"/>
        <w:rPr>
          <w:rFonts w:ascii="仿宋_GB2312" w:hAnsi="仿宋_GB2312" w:eastAsia="仿宋_GB2312" w:cs="仿宋_GB2312"/>
          <w:sz w:val="32"/>
          <w:szCs w:val="32"/>
        </w:rPr>
      </w:pPr>
    </w:p>
    <w:p w14:paraId="1C9D91CD">
      <w:pPr>
        <w:pStyle w:val="2"/>
        <w:rPr>
          <w:rFonts w:ascii="仿宋_GB2312" w:hAnsi="仿宋_GB2312" w:eastAsia="仿宋_GB2312" w:cs="仿宋_GB2312"/>
          <w:sz w:val="32"/>
          <w:szCs w:val="32"/>
        </w:rPr>
      </w:pPr>
    </w:p>
    <w:p w14:paraId="1CA8AD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60" w:lineRule="exact"/>
        <w:jc w:val="both"/>
        <w:textAlignment w:val="auto"/>
        <w:rPr>
          <w:rFonts w:hint="eastAsia" w:ascii="Times New Roman" w:hAnsi="Times New Roman" w:eastAsia="仿宋_GB2312" w:cs="Times New Roman"/>
          <w:color w:val="auto"/>
          <w:sz w:val="32"/>
          <w:szCs w:val="32"/>
          <w:lang w:eastAsia="zh-CN" w:bidi="ar-SA"/>
        </w:rPr>
      </w:pPr>
    </w:p>
    <w:p w14:paraId="0E07C3CA">
      <w:pPr>
        <w:ind w:left="0" w:leftChars="0" w:firstLine="0" w:firstLineChars="0"/>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icrosoft YaHei UI">
    <w:altName w:val="宋体"/>
    <w:panose1 w:val="020B0503020204020204"/>
    <w:charset w:val="86"/>
    <w:family w:val="auto"/>
    <w:pitch w:val="default"/>
    <w:sig w:usb0="00000000" w:usb1="0000000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C6C0">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631825" cy="3257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1825" cy="325755"/>
                      </a:xfrm>
                      <a:prstGeom prst="rect">
                        <a:avLst/>
                      </a:prstGeom>
                      <a:noFill/>
                      <a:ln>
                        <a:noFill/>
                      </a:ln>
                    </wps:spPr>
                    <wps:txbx>
                      <w:txbxContent>
                        <w:p w14:paraId="0D0D52F3">
                          <w:pPr>
                            <w:pStyle w:val="1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25.65pt;width:49.75pt;mso-position-horizontal:outside;mso-position-horizontal-relative:margin;z-index:251665408;mso-width-relative:page;mso-height-relative:page;" filled="f" stroked="f" coordsize="21600,21600" o:gfxdata="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vbAyz1AAAAAMBAAAPAAAAAAAAAAEAIAAAACIAAABkcnMvZG93bnJldi54bWxQSwECFAAU&#10;AAAACACHTuJAd8RAj7wBAABxAwAADgAAAAAAAAABACAAAAAjAQAAZHJzL2Uyb0RvYy54bWxQSwUG&#10;AAAAAAYABgBZAQAAUQUAAAAA&#10;">
              <v:fill on="f" focussize="0,0"/>
              <v:stroke on="f"/>
              <v:imagedata o:title=""/>
              <o:lock v:ext="edit" aspectratio="f"/>
              <v:textbox inset="0mm,0mm,0mm,0mm">
                <w:txbxContent>
                  <w:p w14:paraId="0D0D52F3">
                    <w:pPr>
                      <w:pStyle w:val="1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49FF">
    <w:pPr>
      <w:pStyle w:val="10"/>
      <w:jc w:val="center"/>
    </w:pPr>
    <w:r>
      <w:rPr>
        <w:rFonts w:ascii="等线" w:hAnsi="等线" w:eastAsia="等线" w:cs="黑体"/>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1F92A14">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fill on="f" focussize="0,0"/>
              <v:stroke on="f"/>
              <v:imagedata o:title=""/>
              <o:lock v:ext="edit" aspectratio="f"/>
              <v:textbox inset="0mm,0mm,0mm,0mm" style="mso-fit-shape-to-text:t;">
                <w:txbxContent>
                  <w:p w14:paraId="71F92A14">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r>
      <w:rPr>
        <w:rFonts w:ascii="等线" w:hAnsi="等线" w:eastAsia="等线"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A88CF1A">
                          <w:pPr>
                            <w:pStyle w:val="10"/>
                            <w:jc w:val="center"/>
                          </w:pPr>
                        </w:p>
                        <w:p w14:paraId="00F41108"/>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14:paraId="2A88CF1A">
                    <w:pPr>
                      <w:pStyle w:val="10"/>
                      <w:jc w:val="center"/>
                    </w:pPr>
                  </w:p>
                  <w:p w14:paraId="00F41108"/>
                </w:txbxContent>
              </v:textbox>
            </v:rect>
          </w:pict>
        </mc:Fallback>
      </mc:AlternateContent>
    </w:r>
  </w:p>
  <w:p w14:paraId="3A63AB6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00A1">
    <w:pPr>
      <w:pStyle w:val="10"/>
      <w:jc w:val="center"/>
    </w:pPr>
    <w:r>
      <w:rPr>
        <w:rFonts w:ascii="等线" w:hAnsi="等线" w:eastAsia="等线" w:cs="黑体"/>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84BDA70">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084BDA70">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r>
      <w:rPr>
        <w:rFonts w:ascii="等线" w:hAnsi="等线" w:eastAsia="等线"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474A8FD">
                          <w:pPr>
                            <w:pStyle w:val="10"/>
                            <w:jc w:val="center"/>
                          </w:pPr>
                        </w:p>
                        <w:p w14:paraId="0E157592"/>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14:paraId="0474A8FD">
                    <w:pPr>
                      <w:pStyle w:val="10"/>
                      <w:jc w:val="center"/>
                    </w:pPr>
                  </w:p>
                  <w:p w14:paraId="0E157592"/>
                </w:txbxContent>
              </v:textbox>
            </v:rect>
          </w:pict>
        </mc:Fallback>
      </mc:AlternateContent>
    </w:r>
  </w:p>
  <w:p w14:paraId="16633359">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B77A">
    <w:pPr>
      <w:pStyle w:val="10"/>
      <w:jc w:val="center"/>
    </w:pPr>
    <w:r>
      <w:rPr>
        <w:rFonts w:ascii="等线" w:hAnsi="等线" w:eastAsia="等线" w:cs="黑体"/>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67F5276">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ZSk+/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HVFbZl4YPp4ikcjc0oQRdhpMl5TVTQuVtuDPPHe9/ES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DmUpPvwEAAIwDAAAOAAAAAAAAAAEAIAAAAB8BAABkcnMvZTJvRG9jLnhtbFBLBQYA&#10;AAAABgAGAFkBAABQBQAAAAA=&#10;">
              <v:fill on="f" focussize="0,0"/>
              <v:stroke on="f"/>
              <v:imagedata o:title=""/>
              <o:lock v:ext="edit" aspectratio="f"/>
              <v:textbox inset="0mm,0mm,0mm,0mm" style="mso-fit-shape-to-text:t;">
                <w:txbxContent>
                  <w:p w14:paraId="467F5276">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r>
      <w:rPr>
        <w:rFonts w:ascii="等线" w:hAnsi="等线" w:eastAsia="等线" w:cs="黑体"/>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7CAB1C">
                          <w:pPr>
                            <w:pStyle w:val="10"/>
                            <w:jc w:val="center"/>
                          </w:pPr>
                        </w:p>
                        <w:p w14:paraId="1C64F3A0"/>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677CAB1C">
                    <w:pPr>
                      <w:pStyle w:val="10"/>
                      <w:jc w:val="center"/>
                    </w:pPr>
                  </w:p>
                  <w:p w14:paraId="1C64F3A0"/>
                </w:txbxContent>
              </v:textbox>
            </v:rect>
          </w:pict>
        </mc:Fallback>
      </mc:AlternateContent>
    </w:r>
  </w:p>
  <w:p w14:paraId="104DF016">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EC70">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EE410"/>
    <w:multiLevelType w:val="singleLevel"/>
    <w:tmpl w:val="5FFEE410"/>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YzQyYzA4Yzg3OWE3ZTI2MTdjOWJhYTc3MTQ2MDIifQ=="/>
  </w:docVars>
  <w:rsids>
    <w:rsidRoot w:val="24987218"/>
    <w:rsid w:val="024942D0"/>
    <w:rsid w:val="05F72DB8"/>
    <w:rsid w:val="07051CE2"/>
    <w:rsid w:val="0BC865F0"/>
    <w:rsid w:val="0E3D2712"/>
    <w:rsid w:val="1CB36B1C"/>
    <w:rsid w:val="1DF74725"/>
    <w:rsid w:val="24987218"/>
    <w:rsid w:val="26E2646D"/>
    <w:rsid w:val="28536019"/>
    <w:rsid w:val="30492755"/>
    <w:rsid w:val="36281817"/>
    <w:rsid w:val="39FD28CD"/>
    <w:rsid w:val="3E63473D"/>
    <w:rsid w:val="4B615AF9"/>
    <w:rsid w:val="5BCC7A48"/>
    <w:rsid w:val="5CE212D0"/>
    <w:rsid w:val="5E012BFF"/>
    <w:rsid w:val="5E6438D4"/>
    <w:rsid w:val="624E2BBB"/>
    <w:rsid w:val="6B5D0619"/>
    <w:rsid w:val="6E925862"/>
    <w:rsid w:val="74B12A14"/>
    <w:rsid w:val="78BB1C40"/>
    <w:rsid w:val="7A89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6">
    <w:name w:val="caption"/>
    <w:basedOn w:val="1"/>
    <w:next w:val="1"/>
    <w:qFormat/>
    <w:uiPriority w:val="35"/>
    <w:rPr>
      <w:rFonts w:ascii="等线 Light" w:hAnsi="等线 Light" w:eastAsia="黑体"/>
      <w:sz w:val="20"/>
      <w:szCs w:val="20"/>
    </w:rPr>
  </w:style>
  <w:style w:type="paragraph" w:styleId="7">
    <w:name w:val="annotation text"/>
    <w:basedOn w:val="1"/>
    <w:qFormat/>
    <w:uiPriority w:val="0"/>
    <w:pPr>
      <w:jc w:val="left"/>
    </w:pPr>
    <w:rPr>
      <w:rFonts w:ascii="Calibri" w:hAnsi="Calibri" w:eastAsia="宋体" w:cs="Times New Roman"/>
      <w:szCs w:val="20"/>
    </w:rPr>
  </w:style>
  <w:style w:type="paragraph" w:styleId="8">
    <w:name w:val="Body Text Indent"/>
    <w:basedOn w:val="1"/>
    <w:qFormat/>
    <w:uiPriority w:val="0"/>
    <w:pPr>
      <w:spacing w:after="120" w:afterLines="0" w:afterAutospacing="0"/>
      <w:ind w:left="420" w:leftChars="200"/>
    </w:pPr>
  </w:style>
  <w:style w:type="paragraph" w:styleId="9">
    <w:name w:val="Balloon Text"/>
    <w:basedOn w:val="1"/>
    <w:next w:val="1"/>
    <w:unhideWhenUsed/>
    <w:qFormat/>
    <w:uiPriority w:val="0"/>
    <w:rPr>
      <w:sz w:val="18"/>
      <w:szCs w:val="18"/>
    </w:rPr>
  </w:style>
  <w:style w:type="paragraph" w:styleId="10">
    <w:name w:val="footer"/>
    <w:basedOn w:val="1"/>
    <w:next w:val="9"/>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index 9"/>
    <w:basedOn w:val="1"/>
    <w:next w:val="1"/>
    <w:qFormat/>
    <w:uiPriority w:val="0"/>
    <w:pPr>
      <w:ind w:left="3360"/>
    </w:pPr>
    <w:rPr>
      <w:rFonts w:ascii="Calibri" w:hAnsi="Calibri" w:eastAsia="宋体"/>
    </w:rPr>
  </w:style>
  <w:style w:type="paragraph" w:styleId="14">
    <w:name w:val="toc 2"/>
    <w:basedOn w:val="1"/>
    <w:next w:val="1"/>
    <w:unhideWhenUsed/>
    <w:qFormat/>
    <w:uiPriority w:val="39"/>
    <w:pPr>
      <w:ind w:left="420" w:leftChars="200"/>
    </w:pPr>
  </w:style>
  <w:style w:type="paragraph" w:styleId="15">
    <w:name w:val="Normal (Web)"/>
    <w:basedOn w:val="1"/>
    <w:next w:val="13"/>
    <w:qFormat/>
    <w:uiPriority w:val="99"/>
    <w:pPr>
      <w:spacing w:after="150" w:afterLines="0"/>
      <w:jc w:val="left"/>
    </w:pPr>
    <w:rPr>
      <w:rFonts w:ascii="Calibri" w:hAnsi="Calibri" w:eastAsia="宋体" w:cs="Times New Roman"/>
      <w:kern w:val="0"/>
      <w:sz w:val="24"/>
      <w:szCs w:val="20"/>
    </w:rPr>
  </w:style>
  <w:style w:type="paragraph" w:styleId="16">
    <w:name w:val="Body Text First Indent 2"/>
    <w:basedOn w:val="8"/>
    <w:qFormat/>
    <w:uiPriority w:val="0"/>
    <w:pPr>
      <w:ind w:firstLine="420" w:firstLineChars="200"/>
    </w:pPr>
    <w:rPr>
      <w:rFonts w:ascii="Times New Roman" w:hAnsi="Times New Roman" w:eastAsia="宋体" w:cs="Times New Roman"/>
      <w:lang w:val="en-US" w:eastAsia="zh-CN" w:bidi="ar-SA"/>
    </w:rPr>
  </w:style>
  <w:style w:type="character" w:styleId="19">
    <w:name w:val="Emphasis"/>
    <w:basedOn w:val="18"/>
    <w:qFormat/>
    <w:uiPriority w:val="20"/>
    <w:rPr>
      <w:i/>
      <w:iCs/>
    </w:rPr>
  </w:style>
  <w:style w:type="character" w:styleId="20">
    <w:name w:val="Hyperlink"/>
    <w:basedOn w:val="18"/>
    <w:unhideWhenUsed/>
    <w:qFormat/>
    <w:uiPriority w:val="99"/>
    <w:rPr>
      <w:color w:val="0563C1"/>
      <w:u w:val="single"/>
    </w:rPr>
  </w:style>
  <w:style w:type="paragraph" w:customStyle="1" w:styleId="21">
    <w:name w:val="列表段落11"/>
    <w:basedOn w:val="1"/>
    <w:qFormat/>
    <w:uiPriority w:val="0"/>
    <w:pPr>
      <w:ind w:firstLine="420" w:firstLineChars="200"/>
    </w:pPr>
  </w:style>
  <w:style w:type="paragraph" w:customStyle="1" w:styleId="22">
    <w:name w:val="样式 首行缩进:  2 字符"/>
    <w:basedOn w:val="1"/>
    <w:qFormat/>
    <w:uiPriority w:val="99"/>
    <w:pPr>
      <w:ind w:firstLine="480"/>
    </w:pPr>
  </w:style>
  <w:style w:type="paragraph" w:customStyle="1" w:styleId="23">
    <w:name w:val="正文-公1"/>
    <w:basedOn w:val="24"/>
    <w:next w:val="15"/>
    <w:qFormat/>
    <w:uiPriority w:val="99"/>
    <w:pPr>
      <w:ind w:firstLine="200" w:firstLineChars="200"/>
    </w:pPr>
    <w:rPr>
      <w:rFonts w:cs="Times New Roman"/>
      <w:color w:val="000000"/>
    </w:rPr>
  </w:style>
  <w:style w:type="paragraph" w:customStyle="1" w:styleId="24">
    <w:name w:val="正文 New New New"/>
    <w:next w:val="23"/>
    <w:qFormat/>
    <w:uiPriority w:val="0"/>
    <w:pPr>
      <w:widowControl w:val="0"/>
      <w:jc w:val="both"/>
    </w:pPr>
    <w:rPr>
      <w:rFonts w:ascii="Calibri" w:hAnsi="Calibri" w:eastAsia="宋体" w:cs="黑体"/>
      <w:kern w:val="2"/>
      <w:sz w:val="21"/>
      <w:szCs w:val="24"/>
      <w:lang w:val="en-US" w:eastAsia="zh-CN" w:bidi="ar-SA"/>
    </w:rPr>
  </w:style>
  <w:style w:type="character" w:customStyle="1" w:styleId="25">
    <w:name w:val="NormalCharacter"/>
    <w:link w:val="26"/>
    <w:qFormat/>
    <w:uiPriority w:val="0"/>
    <w:rPr>
      <w:rFonts w:ascii="Verdana" w:hAnsi="Verdana" w:eastAsia="仿宋_GB2312"/>
      <w:kern w:val="0"/>
      <w:sz w:val="24"/>
      <w:szCs w:val="20"/>
      <w:lang w:eastAsia="en-US"/>
    </w:rPr>
  </w:style>
  <w:style w:type="paragraph" w:customStyle="1" w:styleId="26">
    <w:name w:val="UserStyle_5"/>
    <w:basedOn w:val="1"/>
    <w:link w:val="25"/>
    <w:qFormat/>
    <w:uiPriority w:val="0"/>
    <w:pPr>
      <w:widowControl/>
      <w:spacing w:after="160" w:afterLines="0" w:line="240" w:lineRule="exact"/>
      <w:jc w:val="left"/>
      <w:textAlignment w:val="baseline"/>
    </w:pPr>
    <w:rPr>
      <w:rFonts w:ascii="Verdana" w:hAnsi="Verdana" w:eastAsia="仿宋_GB2312"/>
      <w:kern w:val="0"/>
      <w:sz w:val="24"/>
      <w:szCs w:val="20"/>
      <w:lang w:eastAsia="en-US"/>
    </w:rPr>
  </w:style>
  <w:style w:type="paragraph" w:customStyle="1" w:styleId="27">
    <w:name w:val="列表段落1"/>
    <w:basedOn w:val="1"/>
    <w:qFormat/>
    <w:uiPriority w:val="34"/>
    <w:pPr>
      <w:ind w:firstLine="420" w:firstLineChars="200"/>
    </w:pPr>
  </w:style>
  <w:style w:type="paragraph" w:customStyle="1"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4699</Words>
  <Characters>5319</Characters>
  <Lines>0</Lines>
  <Paragraphs>0</Paragraphs>
  <TotalTime>0</TotalTime>
  <ScaleCrop>false</ScaleCrop>
  <LinksUpToDate>false</LinksUpToDate>
  <CharactersWithSpaces>5610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2021-08-06T07:59:00Z</dcterms:created>
  <dc:creator>Administrator</dc:creator>
  <cp:lastModifiedBy>啊哈哈哈</cp:lastModifiedBy>
  <dcterms:modified xsi:type="dcterms:W3CDTF">2025-03-26T06:28:01Z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AE98D45717EF47C889704E45490FA20B</vt:lpwstr>
  </property>
  <property fmtid="{D5CDD505-2E9C-101B-9397-08002B2CF9AE}" pid="4" name="KSOTemplateDocerSaveRecord">
    <vt:lpwstr>eyJoZGlkIjoiZjY4Y2ZmOTg0YWEzNDNiYjhjYTBhNzg1ZDRjNWJiYTIiLCJ1c2VySWQiOiIzMDA2MzE5NDkifQ==</vt:lpwstr>
  </property>
</Properties>
</file>