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bCs/>
                <w:sz w:val="21"/>
                <w:szCs w:val="21"/>
              </w:rPr>
            </w:pPr>
            <w:r>
              <w:rPr>
                <w:rFonts w:hint="eastAsia" w:ascii="宋体" w:hAnsi="宋体" w:eastAsia="宋体"/>
                <w:bCs/>
                <w:sz w:val="21"/>
                <w:szCs w:val="21"/>
                <w:lang w:val="en-US" w:eastAsia="zh-CN"/>
              </w:rPr>
              <w:t>贵州天时佳利能源开发有限责任公司6万吨/年危险废物收集利用项目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FDE56B3"/>
    <w:rsid w:val="13DD27A9"/>
    <w:rsid w:val="1B5E28C5"/>
    <w:rsid w:val="2281603A"/>
    <w:rsid w:val="44EB321A"/>
    <w:rsid w:val="46C14E2D"/>
    <w:rsid w:val="51C541F5"/>
    <w:rsid w:val="51FC7F1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 w:type="paragraph" w:customStyle="1" w:styleId="5">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YH</cp:lastModifiedBy>
  <dcterms:modified xsi:type="dcterms:W3CDTF">2020-06-17T07:50:09Z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