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BB0D1">
      <w:pPr>
        <w:spacing w:line="580" w:lineRule="exact"/>
        <w:rPr>
          <w:rFonts w:ascii="Times New Roman" w:hAnsi="Times New Roman" w:eastAsia="方正小标宋简体" w:cs="Times New Roman"/>
          <w:sz w:val="32"/>
          <w:szCs w:val="32"/>
        </w:rPr>
      </w:pPr>
      <w:r>
        <w:rPr>
          <w:rFonts w:ascii="Times New Roman" w:hAnsi="黑体" w:eastAsia="黑体" w:cs="Times New Roman"/>
          <w:sz w:val="32"/>
          <w:szCs w:val="32"/>
        </w:rPr>
        <w:t>附件</w:t>
      </w:r>
      <w:bookmarkStart w:id="20" w:name="_GoBack"/>
      <w:bookmarkEnd w:id="20"/>
    </w:p>
    <w:p w14:paraId="1928D51B">
      <w:pPr>
        <w:rPr>
          <w:rFonts w:ascii="Times New Roman" w:hAnsi="Times New Roman" w:eastAsia="方正小标宋_GBK" w:cs="Times New Roman"/>
          <w:sz w:val="44"/>
          <w:szCs w:val="44"/>
        </w:rPr>
      </w:pPr>
      <w:bookmarkStart w:id="0" w:name="_Toc1819561084"/>
    </w:p>
    <w:p w14:paraId="117930B7">
      <w:pPr>
        <w:adjustRightInd w:val="0"/>
        <w:snapToGrid w:val="0"/>
        <w:spacing w:line="600" w:lineRule="exact"/>
        <w:jc w:val="center"/>
        <w:rPr>
          <w:rFonts w:ascii="Times New Roman" w:hAnsi="Times New Roman" w:eastAsia="方正小标宋_GBK" w:cs="Times New Roman"/>
          <w:sz w:val="36"/>
          <w:szCs w:val="36"/>
        </w:rPr>
      </w:pPr>
      <w:bookmarkStart w:id="1" w:name="_Toc1266"/>
      <w:bookmarkStart w:id="2" w:name="_Toc792140700"/>
      <w:bookmarkStart w:id="3" w:name="_Toc13442"/>
      <w:bookmarkStart w:id="4" w:name="_Toc13009"/>
      <w:bookmarkStart w:id="5" w:name="_Toc19274"/>
      <w:bookmarkStart w:id="6" w:name="_Toc26677"/>
      <w:r>
        <w:rPr>
          <w:rFonts w:ascii="Times New Roman" w:hAnsi="Times New Roman" w:eastAsia="方正小标宋_GBK" w:cs="Times New Roman"/>
          <w:sz w:val="36"/>
          <w:szCs w:val="36"/>
        </w:rPr>
        <w:t>XX</w:t>
      </w:r>
      <w:r>
        <w:rPr>
          <w:rFonts w:ascii="Times New Roman" w:hAnsi="方正小标宋_GBK" w:eastAsia="方正小标宋_GBK" w:cs="Times New Roman"/>
          <w:sz w:val="36"/>
          <w:szCs w:val="36"/>
        </w:rPr>
        <w:t>省（区、市）配电网发展</w:t>
      </w:r>
      <w:bookmarkEnd w:id="1"/>
      <w:bookmarkEnd w:id="2"/>
      <w:bookmarkEnd w:id="3"/>
      <w:bookmarkEnd w:id="4"/>
      <w:bookmarkEnd w:id="5"/>
      <w:bookmarkEnd w:id="6"/>
      <w:r>
        <w:rPr>
          <w:rFonts w:ascii="Times New Roman" w:hAnsi="方正小标宋_GBK" w:eastAsia="方正小标宋_GBK" w:cs="Times New Roman"/>
          <w:sz w:val="36"/>
          <w:szCs w:val="36"/>
        </w:rPr>
        <w:t>实施方案模板</w:t>
      </w:r>
    </w:p>
    <w:p w14:paraId="74111222">
      <w:pPr>
        <w:keepNext/>
        <w:keepLines/>
        <w:adjustRightInd w:val="0"/>
        <w:snapToGrid w:val="0"/>
        <w:spacing w:line="600" w:lineRule="exact"/>
        <w:jc w:val="center"/>
        <w:rPr>
          <w:rFonts w:ascii="Times New Roman" w:hAnsi="Times New Roman" w:eastAsia="黑体" w:cs="Times New Roman"/>
          <w:b/>
          <w:sz w:val="36"/>
          <w:szCs w:val="36"/>
        </w:rPr>
      </w:pPr>
      <w:r>
        <w:rPr>
          <w:rFonts w:ascii="Times New Roman" w:hAnsi="Times New Roman" w:eastAsia="方正小标宋_GBK" w:cs="Times New Roman"/>
          <w:sz w:val="36"/>
          <w:szCs w:val="36"/>
        </w:rPr>
        <w:t>（2024—2027年）</w:t>
      </w:r>
    </w:p>
    <w:p w14:paraId="7E4F8014">
      <w:pPr>
        <w:keepNext/>
        <w:keepLines/>
        <w:adjustRightInd w:val="0"/>
        <w:snapToGrid w:val="0"/>
        <w:spacing w:before="156" w:after="156" w:line="600" w:lineRule="exact"/>
        <w:ind w:firstLine="640" w:firstLineChars="200"/>
        <w:jc w:val="left"/>
        <w:outlineLvl w:val="0"/>
        <w:rPr>
          <w:rFonts w:ascii="Times New Roman" w:hAnsi="Times New Roman" w:eastAsia="黑体" w:cs="Times New Roman"/>
          <w:bCs/>
          <w:kern w:val="44"/>
          <w:sz w:val="32"/>
          <w:szCs w:val="32"/>
        </w:rPr>
      </w:pPr>
    </w:p>
    <w:p w14:paraId="73FA6EAA">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r>
        <w:rPr>
          <w:rFonts w:ascii="Times New Roman" w:hAnsi="黑体" w:eastAsia="黑体" w:cs="Times New Roman"/>
          <w:bCs/>
          <w:kern w:val="44"/>
          <w:sz w:val="32"/>
          <w:szCs w:val="32"/>
        </w:rPr>
        <w:t>一、发展基础</w:t>
      </w:r>
      <w:bookmarkEnd w:id="0"/>
    </w:p>
    <w:p w14:paraId="42620E00">
      <w:pPr>
        <w:adjustRightInd w:val="0"/>
        <w:snapToGrid w:val="0"/>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包括本地区的地理区位、</w:t>
      </w:r>
      <w:r>
        <w:rPr>
          <w:rFonts w:ascii="Times New Roman" w:hAnsi="Times New Roman" w:eastAsia="仿宋_GB2312" w:cs="Times New Roman"/>
          <w:sz w:val="32"/>
          <w:szCs w:val="32"/>
        </w:rPr>
        <w:t>气候特点、</w:t>
      </w:r>
      <w:r>
        <w:rPr>
          <w:rFonts w:ascii="Times New Roman" w:hAnsi="仿宋_GB2312" w:eastAsia="仿宋_GB2312" w:cs="Times New Roman"/>
          <w:color w:val="000000"/>
          <w:sz w:val="32"/>
          <w:szCs w:val="32"/>
        </w:rPr>
        <w:t>城镇化率、</w:t>
      </w:r>
      <w:r>
        <w:rPr>
          <w:rFonts w:ascii="Times New Roman" w:hAnsi="Times New Roman" w:eastAsia="仿宋_GB2312" w:cs="Times New Roman"/>
          <w:sz w:val="32"/>
          <w:szCs w:val="32"/>
        </w:rPr>
        <w:t>经济发展情况、产业分布及发展趋势等；</w:t>
      </w:r>
      <w:r>
        <w:rPr>
          <w:rFonts w:ascii="Times New Roman" w:hAnsi="Times New Roman" w:eastAsia="仿宋_GB2312" w:cs="Times New Roman"/>
          <w:color w:val="000000"/>
          <w:sz w:val="32"/>
          <w:szCs w:val="32"/>
        </w:rPr>
        <w:t>本地区及各市（县）配电网的供电区域、供电人口、负荷情况；各电压等级配电设备资产规模，综合线损率、供电可靠率、综合电压合格率、户均配变容量等主要指标情况；分布式电源、电动汽车充电桩、储能的规模</w:t>
      </w:r>
      <w:r>
        <w:rPr>
          <w:rFonts w:hint="eastAsia" w:ascii="Times New Roman" w:hAnsi="Times New Roman" w:eastAsia="仿宋_GB2312" w:cs="Times New Roman"/>
          <w:color w:val="000000"/>
          <w:sz w:val="32"/>
          <w:szCs w:val="32"/>
        </w:rPr>
        <w:t>及</w:t>
      </w:r>
      <w:r>
        <w:rPr>
          <w:rFonts w:ascii="Times New Roman" w:hAnsi="Times New Roman" w:eastAsia="仿宋_GB2312" w:cs="Times New Roman"/>
          <w:color w:val="000000"/>
          <w:sz w:val="32"/>
          <w:szCs w:val="32"/>
        </w:rPr>
        <w:t>相关政策；分布式智能电网发展情况等。</w:t>
      </w:r>
    </w:p>
    <w:p w14:paraId="57D3F057">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bookmarkStart w:id="7" w:name="_Toc277806899"/>
      <w:r>
        <w:rPr>
          <w:rFonts w:ascii="Times New Roman" w:hAnsi="Times New Roman" w:eastAsia="黑体" w:cs="Times New Roman"/>
          <w:bCs/>
          <w:kern w:val="44"/>
          <w:sz w:val="32"/>
          <w:szCs w:val="32"/>
        </w:rPr>
        <w:t>二、面临的形势与挑战</w:t>
      </w:r>
      <w:bookmarkEnd w:id="7"/>
    </w:p>
    <w:p w14:paraId="6557096C">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8" w:name="_Toc54485916"/>
      <w:r>
        <w:rPr>
          <w:rFonts w:ascii="Times New Roman" w:hAnsi="Times New Roman" w:eastAsia="楷体_GB2312" w:cs="Times New Roman"/>
          <w:sz w:val="32"/>
          <w:szCs w:val="32"/>
        </w:rPr>
        <w:t>（一）负荷预测</w:t>
      </w:r>
      <w:bookmarkEnd w:id="8"/>
      <w:r>
        <w:rPr>
          <w:rFonts w:ascii="Times New Roman" w:hAnsi="Times New Roman" w:eastAsia="楷体_GB2312" w:cs="Times New Roman"/>
          <w:sz w:val="32"/>
          <w:szCs w:val="32"/>
        </w:rPr>
        <w:t>情况</w:t>
      </w:r>
    </w:p>
    <w:p w14:paraId="69551F6D">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分析本地区及</w:t>
      </w:r>
      <w:r>
        <w:rPr>
          <w:rFonts w:ascii="Times New Roman" w:hAnsi="Times New Roman" w:eastAsia="仿宋_GB2312" w:cs="Times New Roman"/>
          <w:color w:val="000000"/>
          <w:sz w:val="32"/>
          <w:szCs w:val="32"/>
        </w:rPr>
        <w:t>各市（县）的</w:t>
      </w:r>
      <w:r>
        <w:rPr>
          <w:rFonts w:ascii="Times New Roman" w:hAnsi="Times New Roman" w:eastAsia="仿宋_GB2312" w:cs="Times New Roman"/>
          <w:sz w:val="32"/>
          <w:szCs w:val="32"/>
        </w:rPr>
        <w:t>电力负荷特性，结合本省经济社会发展情况，充分考虑电动汽车充电桩等发展需求，分年度预测电力负荷需求。</w:t>
      </w:r>
    </w:p>
    <w:p w14:paraId="26C46EE8">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9" w:name="_Toc916756590"/>
      <w:r>
        <w:rPr>
          <w:rFonts w:ascii="Times New Roman" w:hAnsi="Times New Roman" w:eastAsia="楷体_GB2312" w:cs="Times New Roman"/>
          <w:sz w:val="32"/>
          <w:szCs w:val="32"/>
        </w:rPr>
        <w:t>（二）</w:t>
      </w:r>
      <w:bookmarkEnd w:id="9"/>
      <w:r>
        <w:rPr>
          <w:rFonts w:ascii="Times New Roman" w:hAnsi="Times New Roman" w:eastAsia="楷体_GB2312" w:cs="Times New Roman"/>
          <w:sz w:val="32"/>
          <w:szCs w:val="32"/>
        </w:rPr>
        <w:t>新型主体规划情况</w:t>
      </w:r>
    </w:p>
    <w:p w14:paraId="0761DC86">
      <w:pPr>
        <w:adjustRightInd w:val="0"/>
        <w:snapToGrid w:val="0"/>
        <w:spacing w:line="600" w:lineRule="exact"/>
        <w:ind w:firstLine="640" w:firstLineChars="200"/>
        <w:rPr>
          <w:rFonts w:ascii="Times New Roman" w:hAnsi="Times New Roman" w:eastAsia="方正仿宋_GBK" w:cs="Times New Roman"/>
          <w:color w:val="000000"/>
          <w:sz w:val="32"/>
          <w:szCs w:val="32"/>
        </w:rPr>
      </w:pPr>
      <w:r>
        <w:rPr>
          <w:rFonts w:ascii="Times New Roman" w:hAnsi="Times New Roman" w:eastAsia="仿宋_GB2312" w:cs="Times New Roman"/>
          <w:color w:val="000000"/>
          <w:sz w:val="32"/>
          <w:szCs w:val="32"/>
        </w:rPr>
        <w:t>包括各市（县）的分布式新能源资源条件、规划布局、建设规模和时序；各市（县）电动汽车发展规模，以及充电基础设施规划布局、建设时序和规模；新型储能及分布式智能电网规划情况。</w:t>
      </w:r>
    </w:p>
    <w:p w14:paraId="0C795E09">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10" w:name="_Toc1205532844"/>
      <w:r>
        <w:rPr>
          <w:rFonts w:ascii="Times New Roman" w:hAnsi="Times New Roman" w:eastAsia="楷体_GB2312" w:cs="Times New Roman"/>
          <w:sz w:val="32"/>
          <w:szCs w:val="32"/>
        </w:rPr>
        <w:t>（三）</w:t>
      </w:r>
      <w:bookmarkEnd w:id="10"/>
      <w:r>
        <w:rPr>
          <w:rFonts w:ascii="Times New Roman" w:hAnsi="Times New Roman" w:eastAsia="楷体_GB2312" w:cs="Times New Roman"/>
          <w:sz w:val="32"/>
          <w:szCs w:val="32"/>
        </w:rPr>
        <w:t>形势与挑战</w:t>
      </w:r>
    </w:p>
    <w:p w14:paraId="6275125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本地区经济社会发展情况及目标，结合分布式新能源、电动汽车充电基础设施等规划目标，分析配电网发展面临的形势与挑战，包括但不限于经济社会发展需求、电网规划运行、防灾抗灾能力提升、新型主体规模化接入、政策保障机制等方面。</w:t>
      </w:r>
    </w:p>
    <w:p w14:paraId="5389154E">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bookmarkStart w:id="11" w:name="_Toc2029783310"/>
      <w:r>
        <w:rPr>
          <w:rFonts w:ascii="Times New Roman" w:hAnsi="Times New Roman" w:eastAsia="黑体" w:cs="Times New Roman"/>
          <w:bCs/>
          <w:kern w:val="44"/>
          <w:sz w:val="32"/>
          <w:szCs w:val="32"/>
        </w:rPr>
        <w:t>三、</w:t>
      </w:r>
      <w:bookmarkEnd w:id="11"/>
      <w:r>
        <w:rPr>
          <w:rFonts w:ascii="Times New Roman" w:hAnsi="Times New Roman" w:eastAsia="黑体" w:cs="Times New Roman"/>
          <w:bCs/>
          <w:kern w:val="44"/>
          <w:sz w:val="32"/>
          <w:szCs w:val="32"/>
        </w:rPr>
        <w:t>总体要求及工作目标</w:t>
      </w:r>
    </w:p>
    <w:p w14:paraId="28DC9E09">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12" w:name="_Toc1790358575"/>
      <w:r>
        <w:rPr>
          <w:rFonts w:ascii="Times New Roman" w:hAnsi="Times New Roman" w:eastAsia="楷体_GB2312" w:cs="Times New Roman"/>
          <w:sz w:val="32"/>
          <w:szCs w:val="32"/>
        </w:rPr>
        <w:t>（一）总体</w:t>
      </w:r>
      <w:bookmarkEnd w:id="12"/>
      <w:r>
        <w:rPr>
          <w:rFonts w:ascii="Times New Roman" w:hAnsi="Times New Roman" w:eastAsia="楷体_GB2312" w:cs="Times New Roman"/>
          <w:sz w:val="32"/>
          <w:szCs w:val="32"/>
        </w:rPr>
        <w:t>要求</w:t>
      </w:r>
    </w:p>
    <w:p w14:paraId="4AE581E6">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结合国家要求及本地配电网实际情况，以“四个一批”建设改造任务为重点，提出本地区配电网发展的总体要求及工作原则。</w:t>
      </w:r>
    </w:p>
    <w:p w14:paraId="708109D1">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13" w:name="_Toc2015737693"/>
      <w:r>
        <w:rPr>
          <w:rFonts w:ascii="Times New Roman" w:hAnsi="Times New Roman" w:eastAsia="楷体_GB2312" w:cs="Times New Roman"/>
          <w:sz w:val="32"/>
          <w:szCs w:val="32"/>
        </w:rPr>
        <w:t>（二）</w:t>
      </w:r>
      <w:bookmarkEnd w:id="13"/>
      <w:r>
        <w:rPr>
          <w:rFonts w:ascii="Times New Roman" w:hAnsi="Times New Roman" w:eastAsia="楷体_GB2312" w:cs="Times New Roman"/>
          <w:sz w:val="32"/>
          <w:szCs w:val="32"/>
        </w:rPr>
        <w:t>工作目标</w:t>
      </w:r>
    </w:p>
    <w:p w14:paraId="3CFA6E9D">
      <w:pPr>
        <w:tabs>
          <w:tab w:val="left" w:pos="420"/>
          <w:tab w:val="right" w:leader="dot" w:pos="8495"/>
        </w:tabs>
        <w:adjustRightInd w:val="0"/>
        <w:snapToGrid w:val="0"/>
        <w:spacing w:line="600" w:lineRule="exact"/>
        <w:ind w:firstLine="640" w:firstLineChars="200"/>
        <w:jc w:val="left"/>
        <w:rPr>
          <w:rFonts w:ascii="Times New Roman" w:hAnsi="Times New Roman" w:eastAsia="仿宋_GB2312" w:cs="Times New Roman"/>
          <w:b/>
          <w:caps/>
          <w:sz w:val="32"/>
          <w:szCs w:val="32"/>
        </w:rPr>
      </w:pPr>
      <w:r>
        <w:rPr>
          <w:rFonts w:ascii="Times New Roman" w:hAnsi="Times New Roman" w:eastAsia="仿宋_GB2312" w:cs="Times New Roman"/>
          <w:sz w:val="32"/>
          <w:szCs w:val="32"/>
        </w:rPr>
        <w:t>包括但不限于规划建设、可靠供电、新型主体接入、项目安排、资金保障、投资效率等方面的总目标和分年度执行目标，确保切实可行。</w:t>
      </w:r>
    </w:p>
    <w:p w14:paraId="787432E1">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bookmarkStart w:id="14" w:name="_Toc1755609368"/>
      <w:r>
        <w:rPr>
          <w:rFonts w:ascii="Times New Roman" w:hAnsi="Times New Roman" w:eastAsia="黑体" w:cs="Times New Roman"/>
          <w:bCs/>
          <w:kern w:val="44"/>
          <w:sz w:val="32"/>
          <w:szCs w:val="32"/>
        </w:rPr>
        <w:t>四、</w:t>
      </w:r>
      <w:bookmarkEnd w:id="14"/>
      <w:r>
        <w:rPr>
          <w:rFonts w:ascii="Times New Roman" w:hAnsi="Times New Roman" w:eastAsia="黑体" w:cs="Times New Roman"/>
          <w:bCs/>
          <w:kern w:val="44"/>
          <w:sz w:val="32"/>
          <w:szCs w:val="32"/>
        </w:rPr>
        <w:t>加快补齐配电网短板</w:t>
      </w:r>
    </w:p>
    <w:p w14:paraId="0FB1FB72">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bookmarkStart w:id="15" w:name="_Toc101338196"/>
      <w:r>
        <w:rPr>
          <w:rFonts w:ascii="Times New Roman" w:hAnsi="Times New Roman" w:eastAsia="楷体_GB2312" w:cs="Times New Roman"/>
          <w:sz w:val="32"/>
          <w:szCs w:val="32"/>
        </w:rPr>
        <w:t>（一）补强供电薄弱区域配电网</w:t>
      </w:r>
    </w:p>
    <w:p w14:paraId="513A5D06">
      <w:pPr>
        <w:widowControl/>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w:t>
      </w:r>
      <w:r>
        <w:rPr>
          <w:rFonts w:ascii="Times New Roman" w:hAnsi="Times New Roman" w:eastAsia="仿宋_GB2312" w:cs="Times New Roman"/>
          <w:color w:val="000000"/>
          <w:sz w:val="32"/>
          <w:szCs w:val="32"/>
        </w:rPr>
        <w:t>全面摸排和解决主（配）变重满载、线路重过载、电压越限等问题；合理增加供电薄弱区域变电站、配变布点，加快形成以链式、环式为主的典型网架结构等方面的工作举措。</w:t>
      </w:r>
    </w:p>
    <w:p w14:paraId="202DCE92">
      <w:pPr>
        <w:widowControl/>
        <w:numPr>
          <w:ilvl w:val="0"/>
          <w:numId w:val="1"/>
        </w:numPr>
        <w:adjustRightInd w:val="0"/>
        <w:snapToGrid w:val="0"/>
        <w:spacing w:line="600" w:lineRule="exact"/>
        <w:ind w:firstLine="600"/>
        <w:rPr>
          <w:rFonts w:ascii="Times New Roman" w:hAnsi="Times New Roman" w:eastAsia="楷体_GB2312" w:cs="Times New Roman"/>
          <w:sz w:val="32"/>
          <w:szCs w:val="32"/>
        </w:rPr>
      </w:pPr>
      <w:r>
        <w:rPr>
          <w:rFonts w:ascii="Times New Roman" w:hAnsi="Times New Roman" w:eastAsia="楷体_GB2312" w:cs="Times New Roman"/>
          <w:sz w:val="32"/>
          <w:szCs w:val="32"/>
        </w:rPr>
        <w:t>加大老旧小区、城中村配电网建设改造</w:t>
      </w:r>
    </w:p>
    <w:p w14:paraId="27AAFB35">
      <w:pPr>
        <w:widowControl/>
        <w:adjustRightInd w:val="0"/>
        <w:snapToGrid w:val="0"/>
        <w:spacing w:line="60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但不限于加大老旧小区、城中村配电网投资力度，结合市政改造工作同步落实配电网改造项目；严格落实城镇居民用电“一户一表”、防洪防涝等要求，有序推进高层小区一级负荷双电源改造等方面的工作举措。</w:t>
      </w:r>
    </w:p>
    <w:p w14:paraId="151081AE">
      <w:pPr>
        <w:widowControl/>
        <w:numPr>
          <w:ilvl w:val="0"/>
          <w:numId w:val="1"/>
        </w:numPr>
        <w:adjustRightInd w:val="0"/>
        <w:snapToGrid w:val="0"/>
        <w:spacing w:line="600" w:lineRule="exact"/>
        <w:ind w:firstLine="600"/>
        <w:rPr>
          <w:rFonts w:ascii="Times New Roman" w:hAnsi="Times New Roman" w:eastAsia="楷体_GB2312" w:cs="Times New Roman"/>
          <w:sz w:val="32"/>
          <w:szCs w:val="32"/>
        </w:rPr>
      </w:pPr>
      <w:r>
        <w:rPr>
          <w:rFonts w:ascii="Times New Roman" w:hAnsi="Times New Roman" w:eastAsia="楷体_GB2312" w:cs="Times New Roman"/>
          <w:sz w:val="32"/>
          <w:szCs w:val="32"/>
        </w:rPr>
        <w:t>对单通道县域配电网实施改造提升</w:t>
      </w:r>
    </w:p>
    <w:p w14:paraId="0B7630B0">
      <w:pPr>
        <w:widowControl/>
        <w:adjustRightInd w:val="0"/>
        <w:snapToGrid w:val="0"/>
        <w:spacing w:line="600" w:lineRule="exact"/>
        <w:ind w:firstLine="6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包括但不限于系统摸排单方向、单通道、单线路县域电网，实施供电可靠性提升改造；有序推进大电网延伸覆盖，持续加大脱贫地区、革命老区农村电网建设力度；统筹采用“大电网延伸+末端微电网”、离网型微电网等供电模式解决边远地区供电难题等方面的工作举措。</w:t>
      </w:r>
    </w:p>
    <w:bookmarkEnd w:id="15"/>
    <w:p w14:paraId="16922CE9">
      <w:pPr>
        <w:keepNext/>
        <w:keepLines/>
        <w:adjustRightInd w:val="0"/>
        <w:snapToGrid w:val="0"/>
        <w:spacing w:line="600" w:lineRule="exact"/>
        <w:ind w:firstLine="640" w:firstLineChars="200"/>
        <w:outlineLvl w:val="1"/>
        <w:rPr>
          <w:rFonts w:ascii="Times New Roman" w:hAnsi="Times New Roman" w:eastAsia="黑体" w:cs="Times New Roman"/>
          <w:bCs/>
          <w:kern w:val="44"/>
          <w:sz w:val="32"/>
          <w:szCs w:val="32"/>
        </w:rPr>
      </w:pPr>
      <w:bookmarkStart w:id="16" w:name="_Toc236528101"/>
      <w:r>
        <w:rPr>
          <w:rFonts w:ascii="Times New Roman" w:hAnsi="Times New Roman" w:eastAsia="黑体" w:cs="Times New Roman"/>
          <w:bCs/>
          <w:kern w:val="44"/>
          <w:sz w:val="32"/>
          <w:szCs w:val="32"/>
        </w:rPr>
        <w:t>五、强化防灾抗灾能力建设</w:t>
      </w:r>
    </w:p>
    <w:bookmarkEnd w:id="16"/>
    <w:p w14:paraId="366992E9">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（一）全面梳理排查灾害隐患</w:t>
      </w:r>
    </w:p>
    <w:p w14:paraId="41CC2B5E">
      <w:pPr>
        <w:widowControl/>
        <w:adjustRightInd w:val="0"/>
        <w:snapToGrid w:val="0"/>
        <w:spacing w:line="60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全面梳理本地区自然灾害情况，加强规律趋势研究；制定修订台风、冻雨覆冰、大风舞动、地质灾害、暴雨洪涝等灾害的区域分布图；对灾害易发、多发地区及微地形、微气象等重点区域，详细排查配电线路，全面分析配电设备运行状况和健康水平等方面的工作举措。</w:t>
      </w:r>
    </w:p>
    <w:p w14:paraId="01984B13">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（二）提升综合抗灾能力</w:t>
      </w:r>
    </w:p>
    <w:p w14:paraId="4AB6486C">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包括但不限于差异化提高局部规划设计和灾害防范标准，实施超运行年限及不满足设防要求的老旧配电设备改造；结合气象灾害预警预防性调配使用应急发电车，依托国家级电力应急基地，开展跨企业协同应对重特大突发事件；指导重要用户配置自备应急电源；推进不符合要求的既有地下配电设施向地面迁移或实施防涝改造等方面的工作举措。</w:t>
      </w:r>
    </w:p>
    <w:p w14:paraId="4339C07B">
      <w:pPr>
        <w:widowControl/>
        <w:adjustRightInd w:val="0"/>
        <w:snapToGrid w:val="0"/>
        <w:spacing w:line="600" w:lineRule="exact"/>
        <w:ind w:firstLine="640" w:firstLineChars="200"/>
        <w:rPr>
          <w:rFonts w:ascii="Times New Roman" w:hAnsi="Times New Roman" w:eastAsia="黑体" w:cs="Times New Roman"/>
          <w:bCs/>
          <w:kern w:val="44"/>
          <w:sz w:val="32"/>
          <w:szCs w:val="32"/>
        </w:rPr>
      </w:pPr>
      <w:bookmarkStart w:id="17" w:name="_Toc335562910"/>
      <w:r>
        <w:rPr>
          <w:rFonts w:ascii="Times New Roman" w:hAnsi="Times New Roman" w:eastAsia="黑体" w:cs="Times New Roman"/>
          <w:bCs/>
          <w:kern w:val="44"/>
          <w:sz w:val="32"/>
          <w:szCs w:val="32"/>
        </w:rPr>
        <w:t>六、提升综合承载能力</w:t>
      </w:r>
    </w:p>
    <w:p w14:paraId="315A26FA">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（一）针对性补强配电网</w:t>
      </w:r>
    </w:p>
    <w:p w14:paraId="52D42B68">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w:t>
      </w:r>
      <w:r>
        <w:rPr>
          <w:rFonts w:ascii="Times New Roman" w:hAnsi="Times New Roman" w:eastAsia="仿宋_GB2312" w:cs="Times New Roman"/>
          <w:color w:val="000000"/>
          <w:sz w:val="32"/>
          <w:szCs w:val="32"/>
        </w:rPr>
        <w:t>适应分布式新能源和电动汽车充电桩大规模接入和消纳需要，根据相关规划布局、建设规模和投产时序，在相应区域增容或新建配变，实施线路改造升级等方面的工作举措。</w:t>
      </w:r>
    </w:p>
    <w:p w14:paraId="7B6D913A">
      <w:pPr>
        <w:keepNext/>
        <w:keepLines/>
        <w:adjustRightInd w:val="0"/>
        <w:snapToGrid w:val="0"/>
        <w:spacing w:line="60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（二）完善协调发展机制</w:t>
      </w:r>
    </w:p>
    <w:p w14:paraId="573DF6C3">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w:t>
      </w:r>
      <w:r>
        <w:rPr>
          <w:rFonts w:ascii="Times New Roman" w:hAnsi="Times New Roman" w:eastAsia="仿宋_GB2312" w:cs="Times New Roman"/>
          <w:color w:val="000000"/>
          <w:sz w:val="32"/>
          <w:szCs w:val="32"/>
        </w:rPr>
        <w:t>建立配电网可开放容量定期发布和预警机制；开展配电网可接入充电设施容量研究等方面的工作举措；加快推动虚拟电厂、智能微电网发展的举措。</w:t>
      </w:r>
    </w:p>
    <w:p w14:paraId="3B301DCD">
      <w:pPr>
        <w:widowControl/>
        <w:adjustRightInd w:val="0"/>
        <w:snapToGrid w:val="0"/>
        <w:spacing w:line="600" w:lineRule="exact"/>
        <w:ind w:firstLine="640" w:firstLineChars="20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七、推动分布式智能电网创新发展</w:t>
      </w:r>
    </w:p>
    <w:p w14:paraId="2A7B09BB">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包括但不限于探索建设分布式智能电网；</w:t>
      </w:r>
      <w:r>
        <w:rPr>
          <w:rFonts w:ascii="Times New Roman" w:hAnsi="Times New Roman" w:eastAsia="仿宋_GB2312" w:cs="Times New Roman"/>
          <w:color w:val="000000"/>
          <w:sz w:val="32"/>
          <w:szCs w:val="32"/>
        </w:rPr>
        <w:t>深化分布式智能电网规划建设、运行控制、运营模式、市场交易、与大电网权责划分等研究探索；推动提升</w:t>
      </w:r>
      <w:r>
        <w:rPr>
          <w:rFonts w:ascii="Times New Roman" w:hAnsi="Times New Roman" w:eastAsia="仿宋_GB2312" w:cs="Times New Roman"/>
          <w:sz w:val="32"/>
          <w:szCs w:val="32"/>
        </w:rPr>
        <w:t>分布式智能电网</w:t>
      </w:r>
      <w:r>
        <w:rPr>
          <w:rFonts w:ascii="Times New Roman" w:hAnsi="Times New Roman" w:eastAsia="仿宋_GB2312" w:cs="Times New Roman"/>
          <w:color w:val="000000"/>
          <w:sz w:val="32"/>
          <w:szCs w:val="32"/>
        </w:rPr>
        <w:t>自管理、自平衡、自调节能力等方面的工作举措。</w:t>
      </w:r>
    </w:p>
    <w:bookmarkEnd w:id="17"/>
    <w:p w14:paraId="09E3998E">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bookmarkStart w:id="18" w:name="_Toc2070784896"/>
      <w:bookmarkStart w:id="19" w:name="_Toc513771348"/>
      <w:r>
        <w:rPr>
          <w:rFonts w:ascii="Times New Roman" w:hAnsi="Times New Roman" w:eastAsia="黑体" w:cs="Times New Roman"/>
          <w:bCs/>
          <w:kern w:val="44"/>
          <w:sz w:val="32"/>
          <w:szCs w:val="32"/>
        </w:rPr>
        <w:t>八、保障措施</w:t>
      </w:r>
      <w:bookmarkEnd w:id="18"/>
    </w:p>
    <w:p w14:paraId="6E3439E7">
      <w:pPr>
        <w:widowControl/>
        <w:adjustRightInd w:val="0"/>
        <w:snapToGrid w:val="0"/>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包括但不限于建立健全工作机制、完善财政资金支持、协同做好土地保障、加强全过程管理、配合做好配电网发展指标评价等方面的保障措施。</w:t>
      </w:r>
    </w:p>
    <w:p w14:paraId="3C89683A">
      <w:pPr>
        <w:keepNext/>
        <w:keepLines/>
        <w:adjustRightInd w:val="0"/>
        <w:snapToGrid w:val="0"/>
        <w:spacing w:line="600" w:lineRule="exact"/>
        <w:ind w:firstLine="640" w:firstLineChars="200"/>
        <w:jc w:val="left"/>
        <w:outlineLvl w:val="0"/>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九、</w:t>
      </w:r>
      <w:bookmarkEnd w:id="19"/>
      <w:r>
        <w:rPr>
          <w:rFonts w:ascii="Times New Roman" w:hAnsi="Times New Roman" w:eastAsia="黑体" w:cs="Times New Roman"/>
          <w:bCs/>
          <w:kern w:val="44"/>
          <w:sz w:val="32"/>
          <w:szCs w:val="32"/>
        </w:rPr>
        <w:t>分年度项目及投资计划</w:t>
      </w:r>
    </w:p>
    <w:p w14:paraId="69A6EBE6">
      <w:pPr>
        <w:widowControl/>
        <w:adjustRightInd w:val="0"/>
        <w:snapToGrid w:val="0"/>
        <w:spacing w:line="600" w:lineRule="exact"/>
        <w:ind w:firstLine="6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2024—2027年分年度项目清单及投资计划。</w:t>
      </w:r>
    </w:p>
    <w:p w14:paraId="065E9079">
      <w:pPr>
        <w:widowControl/>
        <w:jc w:val="left"/>
        <w:rPr>
          <w:rFonts w:ascii="Times New Roman" w:hAnsi="Times New Roman" w:eastAsia="仿宋_GB2312" w:cs="Times New Roman"/>
          <w:sz w:val="32"/>
          <w:szCs w:val="32"/>
        </w:rPr>
      </w:pPr>
    </w:p>
    <w:p w14:paraId="1A63EEC5"/>
    <w:sectPr>
      <w:pgSz w:w="11906" w:h="16838"/>
      <w:pgMar w:top="1985" w:right="1304" w:bottom="181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B3C540-0098-41F1-906A-22D038EA5C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60867CE-BE4D-45EB-8169-6F21454A20A8}"/>
  </w:font>
  <w:font w:name="方正小标宋简体">
    <w:panose1 w:val="02000000000000000000"/>
    <w:charset w:val="86"/>
    <w:family w:val="auto"/>
    <w:pitch w:val="default"/>
    <w:sig w:usb0="00000001" w:usb1="08000000" w:usb2="00000000" w:usb3="00000000" w:csb0="00040000" w:csb1="00000000"/>
    <w:embedRegular r:id="rId3" w:fontKey="{71BBF117-182E-4639-9F51-4F0270544C1F}"/>
  </w:font>
  <w:font w:name="方正小标宋_GBK">
    <w:panose1 w:val="02000000000000000000"/>
    <w:charset w:val="86"/>
    <w:family w:val="script"/>
    <w:pitch w:val="default"/>
    <w:sig w:usb0="A00002BF" w:usb1="38CF7CFA" w:usb2="00082016" w:usb3="00000000" w:csb0="00040001" w:csb1="00000000"/>
    <w:embedRegular r:id="rId4" w:fontKey="{04BAD256-86C7-4166-BE66-29DA2B5C2CF3}"/>
  </w:font>
  <w:font w:name="仿宋_GB2312">
    <w:altName w:val="仿宋"/>
    <w:panose1 w:val="02010609030101010101"/>
    <w:charset w:val="86"/>
    <w:family w:val="modern"/>
    <w:pitch w:val="default"/>
    <w:sig w:usb0="00000000" w:usb1="00000000" w:usb2="00000010" w:usb3="00000000" w:csb0="00040000" w:csb1="00000000"/>
    <w:embedRegular r:id="rId5" w:fontKey="{A00E0E44-7637-4C55-8F31-804481CFEE40}"/>
  </w:font>
  <w:font w:name="楷体_GB2312">
    <w:altName w:val="楷体"/>
    <w:panose1 w:val="02010609030101010101"/>
    <w:charset w:val="86"/>
    <w:family w:val="modern"/>
    <w:pitch w:val="default"/>
    <w:sig w:usb0="00000000" w:usb1="00000000" w:usb2="00000010" w:usb3="00000000" w:csb0="00040000" w:csb1="00000000"/>
    <w:embedRegular r:id="rId6" w:fontKey="{2CDE6B25-4B9D-4A01-BA9C-6D83DD868873}"/>
  </w:font>
  <w:font w:name="方正仿宋_GBK">
    <w:panose1 w:val="02000000000000000000"/>
    <w:charset w:val="86"/>
    <w:family w:val="script"/>
    <w:pitch w:val="default"/>
    <w:sig w:usb0="A00002BF" w:usb1="38CF7CFA" w:usb2="00082016" w:usb3="00000000" w:csb0="00040001" w:csb1="00000000"/>
    <w:embedRegular r:id="rId7" w:fontKey="{47CEE22F-3E79-4160-B131-9C4700232B49}"/>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C60EC"/>
    <w:multiLevelType w:val="singleLevel"/>
    <w:tmpl w:val="7FDC60E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GZkYmVhYjdkZGFmMmYwOGRhNWYyN2VhM2M3NDYifQ=="/>
  </w:docVars>
  <w:rsids>
    <w:rsidRoot w:val="0BA35924"/>
    <w:rsid w:val="0BA3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2024-08-13T07:21:00Z</dcterms:created>
  <dc:creator>夕颜</dc:creator>
  <cp:lastModifiedBy>夕颜</cp:lastModifiedBy>
  <dcterms:modified xsi:type="dcterms:W3CDTF">2024-08-13T07:22:55Z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49FD1E8A6D9E4001BE0DF78D6ADEDE18_11</vt:lpwstr>
  </property>
</Properties>
</file>